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BFBE" w14:textId="242B7ABC" w:rsidR="009E5021" w:rsidRPr="001A57A5" w:rsidRDefault="009E5021" w:rsidP="009E5021">
      <w:pPr>
        <w:pStyle w:val="Heading1"/>
        <w:rPr>
          <w:rFonts w:asciiTheme="minorHAnsi" w:hAnsiTheme="minorHAnsi"/>
          <w:bCs w:val="0"/>
          <w:color w:val="262626"/>
        </w:rPr>
      </w:pPr>
      <w:r w:rsidRPr="001A57A5">
        <w:rPr>
          <w:rFonts w:asciiTheme="minorHAnsi" w:hAnsiTheme="minorHAnsi"/>
          <w:bCs w:val="0"/>
          <w:color w:val="262626"/>
        </w:rPr>
        <w:t>XVII.2.</w:t>
      </w:r>
      <w:r w:rsidR="000A38C1">
        <w:rPr>
          <w:rFonts w:asciiTheme="minorHAnsi" w:hAnsiTheme="minorHAnsi"/>
          <w:bCs w:val="0"/>
          <w:color w:val="262626"/>
        </w:rPr>
        <w:t>9</w:t>
      </w:r>
      <w:r w:rsidRPr="001A57A5">
        <w:rPr>
          <w:rFonts w:asciiTheme="minorHAnsi" w:hAnsiTheme="minorHAnsi"/>
          <w:bCs w:val="0"/>
          <w:color w:val="262626"/>
        </w:rPr>
        <w:t xml:space="preserve"> </w:t>
      </w:r>
      <w:r w:rsidR="00BE79E8" w:rsidRPr="001A57A5">
        <w:rPr>
          <w:rFonts w:asciiTheme="minorHAnsi" w:hAnsiTheme="minorHAnsi"/>
          <w:bCs w:val="0"/>
          <w:color w:val="262626"/>
        </w:rPr>
        <w:t>Services a</w:t>
      </w:r>
      <w:r w:rsidRPr="001A57A5">
        <w:rPr>
          <w:rFonts w:asciiTheme="minorHAnsi" w:hAnsiTheme="minorHAnsi"/>
          <w:bCs w:val="0"/>
          <w:color w:val="262626"/>
        </w:rPr>
        <w:t>dministrati</w:t>
      </w:r>
      <w:r w:rsidR="00BE79E8" w:rsidRPr="001A57A5">
        <w:rPr>
          <w:rFonts w:asciiTheme="minorHAnsi" w:hAnsiTheme="minorHAnsi"/>
          <w:bCs w:val="0"/>
          <w:color w:val="262626"/>
        </w:rPr>
        <w:t>fs pour les situations d’urgence</w:t>
      </w:r>
    </w:p>
    <w:p w14:paraId="3D958A2E" w14:textId="77777777" w:rsidR="009E5021" w:rsidRPr="001A57A5" w:rsidRDefault="009E5021" w:rsidP="009E5021">
      <w:pPr>
        <w:spacing w:before="100" w:beforeAutospacing="1" w:after="100" w:afterAutospacing="1" w:line="240" w:lineRule="auto"/>
        <w:outlineLvl w:val="3"/>
        <w:rPr>
          <w:rFonts w:eastAsia="Times New Roman" w:cs="Segoe UI"/>
          <w:b/>
          <w:sz w:val="24"/>
          <w:szCs w:val="24"/>
        </w:rPr>
      </w:pPr>
      <w:r w:rsidRPr="001A57A5">
        <w:rPr>
          <w:rFonts w:eastAsia="Times New Roman" w:cs="Segoe UI"/>
          <w:b/>
          <w:sz w:val="24"/>
          <w:szCs w:val="24"/>
        </w:rPr>
        <w:t>Introduction</w:t>
      </w:r>
    </w:p>
    <w:p w14:paraId="2CE2DC5B" w14:textId="50B0D159" w:rsidR="009E5021" w:rsidRPr="001A57A5" w:rsidRDefault="001A57A5" w:rsidP="009E5021">
      <w:pPr>
        <w:spacing w:after="150" w:line="240" w:lineRule="auto"/>
        <w:rPr>
          <w:rFonts w:eastAsia="Times New Roman" w:cs="Segoe UI"/>
          <w:color w:val="444444"/>
          <w:sz w:val="20"/>
          <w:szCs w:val="20"/>
        </w:rPr>
      </w:pPr>
      <w:r>
        <w:rPr>
          <w:rFonts w:eastAsia="Times New Roman" w:cs="Segoe UI"/>
          <w:color w:val="444444"/>
          <w:sz w:val="20"/>
          <w:szCs w:val="20"/>
        </w:rPr>
        <w:t>10.   </w:t>
      </w:r>
      <w:r w:rsidR="00BE79E8" w:rsidRPr="001A57A5">
        <w:rPr>
          <w:rFonts w:eastAsia="Times New Roman" w:cs="Segoe UI"/>
          <w:color w:val="444444"/>
          <w:sz w:val="20"/>
          <w:szCs w:val="20"/>
        </w:rPr>
        <w:t xml:space="preserve">Le Centre mondial de services 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 xml:space="preserve">(GSC) </w:t>
      </w:r>
      <w:r w:rsidR="00BE79E8" w:rsidRPr="001A57A5">
        <w:rPr>
          <w:rFonts w:eastAsia="Times New Roman" w:cs="Segoe UI"/>
          <w:color w:val="444444"/>
          <w:sz w:val="20"/>
          <w:szCs w:val="20"/>
        </w:rPr>
        <w:t xml:space="preserve">situé à 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 xml:space="preserve">Kuala Lumpur </w:t>
      </w:r>
      <w:r w:rsidR="00BE79E8" w:rsidRPr="001A57A5">
        <w:rPr>
          <w:rFonts w:eastAsia="Times New Roman" w:cs="Segoe UI"/>
          <w:color w:val="444444"/>
          <w:sz w:val="20"/>
          <w:szCs w:val="20"/>
        </w:rPr>
        <w:t>est le centre de services commun à l’ensemble de l’OMS pour les ressources humaines, les finances, les voyages, les achats</w:t>
      </w:r>
      <w:r w:rsidR="0095110B" w:rsidRPr="001A57A5">
        <w:rPr>
          <w:rFonts w:eastAsia="Times New Roman" w:cs="Segoe UI"/>
          <w:color w:val="444444"/>
          <w:sz w:val="20"/>
          <w:szCs w:val="20"/>
        </w:rPr>
        <w:t xml:space="preserve">, </w:t>
      </w:r>
      <w:r w:rsidR="00BE79E8" w:rsidRPr="001A57A5">
        <w:rPr>
          <w:rFonts w:eastAsia="Times New Roman" w:cs="Segoe UI"/>
          <w:color w:val="444444"/>
          <w:sz w:val="20"/>
          <w:szCs w:val="20"/>
        </w:rPr>
        <w:t>la logistique</w:t>
      </w:r>
      <w:r w:rsidR="0000603A" w:rsidRPr="001A57A5">
        <w:rPr>
          <w:rFonts w:eastAsia="Times New Roman" w:cs="Segoe UI"/>
          <w:color w:val="444444"/>
          <w:sz w:val="20"/>
          <w:szCs w:val="20"/>
        </w:rPr>
        <w:t xml:space="preserve"> et</w:t>
      </w:r>
      <w:r w:rsidR="00BE79E8" w:rsidRPr="001A57A5">
        <w:rPr>
          <w:rFonts w:eastAsia="Times New Roman" w:cs="Segoe UI"/>
          <w:color w:val="444444"/>
          <w:sz w:val="20"/>
          <w:szCs w:val="20"/>
        </w:rPr>
        <w:t xml:space="preserve"> les technologies de l’information. </w:t>
      </w:r>
    </w:p>
    <w:p w14:paraId="162C5A24" w14:textId="73FED251" w:rsidR="009E5021" w:rsidRPr="001A57A5" w:rsidRDefault="001A57A5" w:rsidP="009E5021">
      <w:pPr>
        <w:spacing w:after="150" w:line="240" w:lineRule="auto"/>
        <w:rPr>
          <w:rFonts w:eastAsia="Times New Roman" w:cs="Segoe UI"/>
          <w:color w:val="444444"/>
          <w:sz w:val="20"/>
          <w:szCs w:val="20"/>
        </w:rPr>
      </w:pPr>
      <w:r>
        <w:rPr>
          <w:rFonts w:eastAsia="Times New Roman" w:cs="Segoe UI"/>
          <w:color w:val="444444"/>
          <w:sz w:val="20"/>
          <w:szCs w:val="20"/>
        </w:rPr>
        <w:t>20.   </w:t>
      </w:r>
      <w:r w:rsidR="00BE79E8" w:rsidRPr="001A57A5">
        <w:rPr>
          <w:rFonts w:eastAsia="Times New Roman" w:cs="Segoe UI"/>
          <w:color w:val="444444"/>
          <w:sz w:val="20"/>
          <w:szCs w:val="20"/>
        </w:rPr>
        <w:t>L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 xml:space="preserve">e GSC </w:t>
      </w:r>
      <w:r w:rsidR="00BE79E8" w:rsidRPr="001A57A5">
        <w:rPr>
          <w:rFonts w:eastAsia="Times New Roman" w:cs="Segoe UI"/>
          <w:color w:val="444444"/>
          <w:sz w:val="20"/>
          <w:szCs w:val="20"/>
        </w:rPr>
        <w:t xml:space="preserve">fournit des services accélérés pour </w:t>
      </w:r>
      <w:r w:rsidR="0095110B" w:rsidRPr="001A57A5">
        <w:rPr>
          <w:rFonts w:eastAsia="Times New Roman" w:cs="Segoe UI"/>
          <w:color w:val="444444"/>
          <w:sz w:val="20"/>
          <w:szCs w:val="20"/>
        </w:rPr>
        <w:t xml:space="preserve">faire face aux </w:t>
      </w:r>
      <w:r w:rsidR="00BE79E8" w:rsidRPr="001A57A5">
        <w:rPr>
          <w:rFonts w:eastAsia="Times New Roman" w:cs="Segoe UI"/>
          <w:color w:val="444444"/>
          <w:sz w:val="20"/>
          <w:szCs w:val="20"/>
        </w:rPr>
        <w:t xml:space="preserve">situations d’urgence classées 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 xml:space="preserve">en cours </w:t>
      </w:r>
      <w:r w:rsidR="0095110B" w:rsidRPr="001A57A5">
        <w:rPr>
          <w:rFonts w:eastAsia="Times New Roman" w:cs="Segoe UI"/>
          <w:color w:val="444444"/>
          <w:sz w:val="20"/>
          <w:szCs w:val="20"/>
        </w:rPr>
        <w:t xml:space="preserve">qui ont 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 xml:space="preserve">fait l’objet d’une déclaration </w:t>
      </w:r>
      <w:r w:rsidR="00BE79E8" w:rsidRPr="001A57A5">
        <w:rPr>
          <w:rFonts w:eastAsia="Times New Roman" w:cs="Segoe UI"/>
          <w:color w:val="444444"/>
          <w:sz w:val="20"/>
          <w:szCs w:val="20"/>
        </w:rPr>
        <w:t>officielle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 xml:space="preserve"> 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>(</w:t>
      </w:r>
      <w:r w:rsidR="0095110B" w:rsidRPr="001A57A5">
        <w:rPr>
          <w:rFonts w:eastAsia="Times New Roman" w:cs="Segoe UI"/>
          <w:color w:val="444444"/>
          <w:sz w:val="20"/>
          <w:szCs w:val="20"/>
        </w:rPr>
        <w:t>voir la section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> </w:t>
      </w:r>
      <w:hyperlink r:id="rId12" w:history="1">
        <w:r w:rsidR="000A38C1" w:rsidRPr="000A38C1">
          <w:rPr>
            <w:rStyle w:val="Hyperlink"/>
            <w:rFonts w:eastAsia="Times New Roman" w:cs="Segoe UI"/>
            <w:sz w:val="20"/>
            <w:szCs w:val="20"/>
          </w:rPr>
          <w:t xml:space="preserve">XVII.2.4 du Manuel électronique de l’OMS, intitulée : « List of active </w:t>
        </w:r>
        <w:proofErr w:type="spellStart"/>
        <w:r w:rsidR="000A38C1" w:rsidRPr="000A38C1">
          <w:rPr>
            <w:rStyle w:val="Hyperlink"/>
            <w:rFonts w:eastAsia="Times New Roman" w:cs="Segoe UI"/>
            <w:sz w:val="20"/>
            <w:szCs w:val="20"/>
          </w:rPr>
          <w:t>Graded</w:t>
        </w:r>
        <w:proofErr w:type="spellEnd"/>
        <w:r w:rsidR="000A38C1" w:rsidRPr="000A38C1">
          <w:rPr>
            <w:rStyle w:val="Hyperlink"/>
            <w:rFonts w:eastAsia="Times New Roman" w:cs="Segoe UI"/>
            <w:sz w:val="20"/>
            <w:szCs w:val="20"/>
          </w:rPr>
          <w:t xml:space="preserve"> Emergencies »).</w:t>
        </w:r>
      </w:hyperlink>
    </w:p>
    <w:p w14:paraId="3E8ACAB4" w14:textId="4388410D" w:rsidR="009E5021" w:rsidRPr="001A57A5" w:rsidRDefault="001A57A5" w:rsidP="009E5021">
      <w:pPr>
        <w:spacing w:after="150" w:line="240" w:lineRule="auto"/>
        <w:rPr>
          <w:rFonts w:eastAsia="Times New Roman" w:cs="Segoe UI"/>
          <w:color w:val="444444"/>
          <w:sz w:val="20"/>
          <w:szCs w:val="20"/>
        </w:rPr>
      </w:pPr>
      <w:r>
        <w:rPr>
          <w:rFonts w:eastAsia="Times New Roman" w:cs="Segoe UI"/>
          <w:color w:val="444444"/>
          <w:sz w:val="20"/>
          <w:szCs w:val="20"/>
        </w:rPr>
        <w:t>30.   En coordination avec le d</w:t>
      </w:r>
      <w:r w:rsidR="00287089" w:rsidRPr="001A57A5">
        <w:rPr>
          <w:rFonts w:eastAsia="Times New Roman" w:cs="Segoe UI"/>
          <w:color w:val="444444"/>
          <w:sz w:val="20"/>
          <w:szCs w:val="20"/>
        </w:rPr>
        <w:t xml:space="preserve">irecteur du GSC, des services accélérés peuvent également être proposés 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 xml:space="preserve">pour </w:t>
      </w:r>
      <w:r w:rsidR="00287089" w:rsidRPr="001A57A5">
        <w:rPr>
          <w:rFonts w:eastAsia="Times New Roman" w:cs="Segoe UI"/>
          <w:color w:val="444444"/>
          <w:sz w:val="20"/>
          <w:szCs w:val="20"/>
        </w:rPr>
        <w:t>d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 xml:space="preserve">es </w:t>
      </w:r>
      <w:r w:rsidR="00287089" w:rsidRPr="001A57A5">
        <w:rPr>
          <w:rFonts w:eastAsia="Times New Roman" w:cs="Segoe UI"/>
          <w:color w:val="444444"/>
          <w:sz w:val="20"/>
          <w:szCs w:val="20"/>
        </w:rPr>
        <w:t xml:space="preserve">événements ou situations 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 xml:space="preserve">non encore classés </w:t>
      </w:r>
      <w:r w:rsidR="000B6060" w:rsidRPr="001A57A5">
        <w:rPr>
          <w:rFonts w:eastAsia="Times New Roman" w:cs="Segoe UI"/>
          <w:color w:val="444444"/>
          <w:sz w:val="20"/>
          <w:szCs w:val="20"/>
        </w:rPr>
        <w:t>s</w:t>
      </w:r>
      <w:r w:rsidR="00287089" w:rsidRPr="001A57A5">
        <w:rPr>
          <w:rFonts w:eastAsia="Times New Roman" w:cs="Segoe UI"/>
          <w:color w:val="444444"/>
          <w:sz w:val="20"/>
          <w:szCs w:val="20"/>
        </w:rPr>
        <w:t xml:space="preserve">usceptibles de devenir des situations d’urgence à part entière, et pour 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>d</w:t>
      </w:r>
      <w:r w:rsidR="00287089" w:rsidRPr="001A57A5">
        <w:rPr>
          <w:rFonts w:eastAsia="Times New Roman" w:cs="Segoe UI"/>
          <w:color w:val="444444"/>
          <w:sz w:val="20"/>
          <w:szCs w:val="20"/>
        </w:rPr>
        <w:t>es projets urgen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>ts</w:t>
      </w:r>
      <w:r w:rsidR="00287089" w:rsidRPr="001A57A5">
        <w:rPr>
          <w:rFonts w:eastAsia="Times New Roman" w:cs="Segoe UI"/>
          <w:color w:val="444444"/>
          <w:sz w:val="20"/>
          <w:szCs w:val="20"/>
        </w:rPr>
        <w:t xml:space="preserve"> financés par 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>d</w:t>
      </w:r>
      <w:r w:rsidR="00287089" w:rsidRPr="001A57A5">
        <w:rPr>
          <w:rFonts w:eastAsia="Times New Roman" w:cs="Segoe UI"/>
          <w:color w:val="444444"/>
          <w:sz w:val="20"/>
          <w:szCs w:val="20"/>
        </w:rPr>
        <w:t xml:space="preserve">es dotations d’une durée de moins de six mois au titre des </w:t>
      </w:r>
      <w:r w:rsidR="00C143B8" w:rsidRPr="001A57A5">
        <w:rPr>
          <w:rFonts w:eastAsia="Times New Roman" w:cs="Segoe UI"/>
          <w:color w:val="444444"/>
          <w:sz w:val="20"/>
          <w:szCs w:val="20"/>
        </w:rPr>
        <w:t>i</w:t>
      </w:r>
      <w:r w:rsidR="00287089" w:rsidRPr="001A57A5">
        <w:rPr>
          <w:rFonts w:eastAsia="Times New Roman" w:cs="Segoe UI"/>
          <w:color w:val="444444"/>
          <w:sz w:val="20"/>
          <w:szCs w:val="20"/>
        </w:rPr>
        <w:t xml:space="preserve">nterventions en cas d’épidémie ou de crise (OCR). </w:t>
      </w:r>
    </w:p>
    <w:p w14:paraId="6D8F3AFF" w14:textId="77777777" w:rsidR="009E5021" w:rsidRPr="001A57A5" w:rsidRDefault="009E5021" w:rsidP="009E5021">
      <w:pPr>
        <w:spacing w:before="100" w:beforeAutospacing="1" w:after="100" w:afterAutospacing="1" w:line="240" w:lineRule="auto"/>
        <w:outlineLvl w:val="3"/>
        <w:rPr>
          <w:rFonts w:eastAsia="Times New Roman" w:cs="Segoe UI"/>
          <w:color w:val="777777"/>
          <w:sz w:val="24"/>
          <w:szCs w:val="24"/>
        </w:rPr>
      </w:pPr>
    </w:p>
    <w:p w14:paraId="2AD74026" w14:textId="7D17DBC2" w:rsidR="009E5021" w:rsidRPr="001A57A5" w:rsidRDefault="009E5021" w:rsidP="009E5021">
      <w:pPr>
        <w:spacing w:before="100" w:beforeAutospacing="1" w:after="100" w:afterAutospacing="1" w:line="240" w:lineRule="auto"/>
        <w:outlineLvl w:val="3"/>
        <w:rPr>
          <w:rFonts w:eastAsia="Times New Roman" w:cs="Segoe UI"/>
          <w:b/>
          <w:sz w:val="24"/>
          <w:szCs w:val="24"/>
        </w:rPr>
      </w:pPr>
      <w:r w:rsidRPr="001A57A5">
        <w:rPr>
          <w:rFonts w:eastAsia="Times New Roman" w:cs="Segoe UI"/>
          <w:b/>
          <w:sz w:val="24"/>
          <w:szCs w:val="24"/>
        </w:rPr>
        <w:t xml:space="preserve">Activation </w:t>
      </w:r>
      <w:bookmarkStart w:id="0" w:name="_Hlk522022926"/>
      <w:r w:rsidR="00287089" w:rsidRPr="001A57A5">
        <w:rPr>
          <w:rFonts w:eastAsia="Times New Roman" w:cs="Segoe UI"/>
          <w:b/>
          <w:sz w:val="24"/>
          <w:szCs w:val="24"/>
        </w:rPr>
        <w:t>des s</w:t>
      </w:r>
      <w:r w:rsidRPr="001A57A5">
        <w:rPr>
          <w:rFonts w:eastAsia="Times New Roman" w:cs="Segoe UI"/>
          <w:b/>
          <w:sz w:val="24"/>
          <w:szCs w:val="24"/>
        </w:rPr>
        <w:t xml:space="preserve">ervices </w:t>
      </w:r>
      <w:r w:rsidR="00287089" w:rsidRPr="001A57A5">
        <w:rPr>
          <w:rFonts w:eastAsia="Times New Roman" w:cs="Segoe UI"/>
          <w:b/>
          <w:sz w:val="24"/>
          <w:szCs w:val="24"/>
        </w:rPr>
        <w:t>du GSC pour les situations d’urgence</w:t>
      </w:r>
      <w:bookmarkEnd w:id="0"/>
    </w:p>
    <w:p w14:paraId="1EC4C0DB" w14:textId="080E67E5" w:rsidR="009E5021" w:rsidRPr="001A57A5" w:rsidRDefault="001A57A5" w:rsidP="009E5021">
      <w:pPr>
        <w:spacing w:after="150" w:line="240" w:lineRule="auto"/>
        <w:rPr>
          <w:rFonts w:eastAsia="Times New Roman" w:cs="Segoe UI"/>
          <w:color w:val="444444"/>
          <w:sz w:val="20"/>
          <w:szCs w:val="20"/>
        </w:rPr>
      </w:pPr>
      <w:r>
        <w:rPr>
          <w:rFonts w:eastAsia="Times New Roman" w:cs="Segoe UI"/>
          <w:color w:val="444444"/>
          <w:sz w:val="20"/>
          <w:szCs w:val="20"/>
        </w:rPr>
        <w:t>40.   </w:t>
      </w:r>
      <w:r w:rsidR="00287089" w:rsidRPr="001A57A5">
        <w:rPr>
          <w:rFonts w:eastAsia="Times New Roman" w:cs="Segoe UI"/>
          <w:color w:val="444444"/>
          <w:sz w:val="20"/>
          <w:szCs w:val="20"/>
        </w:rPr>
        <w:t xml:space="preserve">Les services du GSC pour les situations d’urgence sont activés conformément aux critères définis à la section </w:t>
      </w:r>
      <w:hyperlink r:id="rId13" w:history="1">
        <w:r w:rsidR="00287089" w:rsidRPr="000A38C1">
          <w:rPr>
            <w:rStyle w:val="Hyperlink"/>
            <w:rFonts w:eastAsia="Times New Roman" w:cs="Segoe UI"/>
            <w:sz w:val="20"/>
            <w:szCs w:val="20"/>
          </w:rPr>
          <w:t>XVII.2.</w:t>
        </w:r>
        <w:r w:rsidR="000A38C1" w:rsidRPr="000A38C1">
          <w:rPr>
            <w:rStyle w:val="Hyperlink"/>
            <w:rFonts w:eastAsia="Times New Roman" w:cs="Segoe UI"/>
            <w:sz w:val="20"/>
            <w:szCs w:val="20"/>
          </w:rPr>
          <w:t>7</w:t>
        </w:r>
        <w:r w:rsidR="00287089" w:rsidRPr="000A38C1">
          <w:rPr>
            <w:rStyle w:val="Hyperlink"/>
            <w:rFonts w:eastAsia="Times New Roman" w:cs="Segoe UI"/>
            <w:sz w:val="20"/>
            <w:szCs w:val="20"/>
          </w:rPr>
          <w:t xml:space="preserve"> du Manuel électronique intitulée : « Activation </w:t>
        </w:r>
        <w:r w:rsidR="000B6060" w:rsidRPr="000A38C1">
          <w:rPr>
            <w:rStyle w:val="Hyperlink"/>
            <w:rFonts w:eastAsia="Times New Roman" w:cs="Segoe UI"/>
            <w:sz w:val="20"/>
            <w:szCs w:val="20"/>
          </w:rPr>
          <w:t>des procédures d’urgence </w:t>
        </w:r>
      </w:hyperlink>
      <w:r w:rsidR="000B6060" w:rsidRPr="001A57A5">
        <w:rPr>
          <w:rFonts w:eastAsia="Times New Roman" w:cs="Segoe UI"/>
          <w:sz w:val="20"/>
          <w:szCs w:val="20"/>
        </w:rPr>
        <w:t>»</w:t>
      </w:r>
      <w:r w:rsidR="00871359" w:rsidRPr="001A57A5">
        <w:rPr>
          <w:rFonts w:eastAsia="Times New Roman" w:cs="Segoe UI"/>
          <w:sz w:val="20"/>
          <w:szCs w:val="20"/>
        </w:rPr>
        <w:t>.</w:t>
      </w:r>
    </w:p>
    <w:p w14:paraId="7D275D3C" w14:textId="77777777" w:rsidR="009E5021" w:rsidRPr="001A57A5" w:rsidRDefault="009E5021" w:rsidP="009E5021">
      <w:pPr>
        <w:spacing w:after="150" w:line="240" w:lineRule="auto"/>
        <w:rPr>
          <w:rFonts w:eastAsia="Times New Roman" w:cs="Segoe UI"/>
          <w:color w:val="444444"/>
          <w:sz w:val="20"/>
          <w:szCs w:val="20"/>
        </w:rPr>
      </w:pPr>
    </w:p>
    <w:p w14:paraId="6A30B22B" w14:textId="509FE6B9" w:rsidR="009E5021" w:rsidRPr="001A57A5" w:rsidRDefault="009E5021" w:rsidP="009E5021">
      <w:pPr>
        <w:spacing w:before="100" w:beforeAutospacing="1" w:after="100" w:afterAutospacing="1" w:line="240" w:lineRule="auto"/>
        <w:outlineLvl w:val="3"/>
        <w:rPr>
          <w:rFonts w:eastAsia="Times New Roman" w:cs="Segoe UI"/>
          <w:b/>
          <w:sz w:val="24"/>
          <w:szCs w:val="24"/>
        </w:rPr>
      </w:pPr>
      <w:r w:rsidRPr="001A57A5">
        <w:rPr>
          <w:rFonts w:eastAsia="Times New Roman" w:cs="Segoe UI"/>
          <w:b/>
          <w:sz w:val="24"/>
          <w:szCs w:val="24"/>
        </w:rPr>
        <w:t xml:space="preserve">Activation </w:t>
      </w:r>
      <w:r w:rsidR="00235490" w:rsidRPr="001A57A5">
        <w:rPr>
          <w:rFonts w:eastAsia="Times New Roman" w:cs="Segoe UI"/>
          <w:b/>
          <w:sz w:val="24"/>
          <w:szCs w:val="24"/>
        </w:rPr>
        <w:t xml:space="preserve">des services du GSC pour les </w:t>
      </w:r>
      <w:r w:rsidR="001A57A5">
        <w:rPr>
          <w:rFonts w:eastAsia="Times New Roman" w:cs="Segoe UI"/>
          <w:b/>
          <w:sz w:val="24"/>
          <w:szCs w:val="24"/>
        </w:rPr>
        <w:t>événements</w:t>
      </w:r>
      <w:r w:rsidR="00235490" w:rsidRPr="001A57A5">
        <w:rPr>
          <w:rFonts w:eastAsia="Times New Roman" w:cs="Segoe UI"/>
          <w:b/>
          <w:sz w:val="24"/>
          <w:szCs w:val="24"/>
        </w:rPr>
        <w:t xml:space="preserve"> ou situations d’urgence non encore classés</w:t>
      </w:r>
    </w:p>
    <w:p w14:paraId="693000B2" w14:textId="747678C6" w:rsidR="009E5021" w:rsidRPr="001A57A5" w:rsidRDefault="001A57A5" w:rsidP="009E5021">
      <w:pPr>
        <w:spacing w:after="150" w:line="240" w:lineRule="auto"/>
        <w:rPr>
          <w:rFonts w:eastAsia="Times New Roman" w:cs="Segoe UI"/>
          <w:color w:val="444444"/>
          <w:sz w:val="20"/>
          <w:szCs w:val="20"/>
        </w:rPr>
      </w:pPr>
      <w:r>
        <w:rPr>
          <w:rFonts w:eastAsia="Times New Roman" w:cs="Segoe UI"/>
          <w:color w:val="444444"/>
          <w:sz w:val="20"/>
          <w:szCs w:val="20"/>
        </w:rPr>
        <w:t>50.   </w:t>
      </w:r>
      <w:r w:rsidR="000B6060" w:rsidRPr="001A57A5">
        <w:rPr>
          <w:rFonts w:eastAsia="Times New Roman" w:cs="Segoe UI"/>
          <w:color w:val="444444"/>
          <w:sz w:val="20"/>
          <w:szCs w:val="20"/>
        </w:rPr>
        <w:t>L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>’activation d</w:t>
      </w:r>
      <w:r w:rsidR="000B6060" w:rsidRPr="001A57A5">
        <w:rPr>
          <w:rFonts w:eastAsia="Times New Roman" w:cs="Segoe UI"/>
          <w:color w:val="444444"/>
          <w:sz w:val="20"/>
          <w:szCs w:val="20"/>
        </w:rPr>
        <w:t xml:space="preserve">es services 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 xml:space="preserve">d’urgence </w:t>
      </w:r>
      <w:r w:rsidR="000B6060" w:rsidRPr="001A57A5">
        <w:rPr>
          <w:rFonts w:eastAsia="Times New Roman" w:cs="Segoe UI"/>
          <w:color w:val="444444"/>
          <w:sz w:val="20"/>
          <w:szCs w:val="20"/>
        </w:rPr>
        <w:t xml:space="preserve">du GSC lors d’événements ou de situations </w:t>
      </w:r>
      <w:r w:rsidR="00235490" w:rsidRPr="001A57A5">
        <w:rPr>
          <w:rFonts w:eastAsia="Times New Roman" w:cs="Segoe UI"/>
          <w:color w:val="444444"/>
          <w:sz w:val="20"/>
          <w:szCs w:val="20"/>
          <w:u w:val="single"/>
        </w:rPr>
        <w:t xml:space="preserve">non encore </w:t>
      </w:r>
      <w:r w:rsidR="000B6060" w:rsidRPr="001A57A5">
        <w:rPr>
          <w:rFonts w:eastAsia="Times New Roman" w:cs="Segoe UI"/>
          <w:color w:val="444444"/>
          <w:sz w:val="20"/>
          <w:szCs w:val="20"/>
          <w:u w:val="single"/>
        </w:rPr>
        <w:t>class</w:t>
      </w:r>
      <w:r w:rsidR="00235490" w:rsidRPr="001A57A5">
        <w:rPr>
          <w:rFonts w:eastAsia="Times New Roman" w:cs="Segoe UI"/>
          <w:color w:val="444444"/>
          <w:sz w:val="20"/>
          <w:szCs w:val="20"/>
          <w:u w:val="single"/>
        </w:rPr>
        <w:t>és</w:t>
      </w:r>
      <w:r w:rsidR="000B6060" w:rsidRPr="001A57A5">
        <w:rPr>
          <w:rFonts w:eastAsia="Times New Roman" w:cs="Segoe UI"/>
          <w:color w:val="444444"/>
          <w:sz w:val="20"/>
          <w:szCs w:val="20"/>
        </w:rPr>
        <w:t xml:space="preserve"> peut être autorisé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>e</w:t>
      </w:r>
      <w:r w:rsidR="000B6060" w:rsidRPr="001A57A5">
        <w:rPr>
          <w:rFonts w:eastAsia="Times New Roman" w:cs="Segoe UI"/>
          <w:color w:val="444444"/>
          <w:sz w:val="20"/>
          <w:szCs w:val="20"/>
        </w:rPr>
        <w:t xml:space="preserve"> par les membres du personnel du Programme de gestion des situations d’urgence sanitaire (WHE) dont la liste figure dans la section </w:t>
      </w:r>
      <w:hyperlink r:id="rId14" w:history="1">
        <w:proofErr w:type="spellStart"/>
        <w:r w:rsidR="000A38C1" w:rsidRPr="000A38C1">
          <w:rPr>
            <w:rStyle w:val="Hyperlink"/>
            <w:rFonts w:eastAsia="Times New Roman" w:cs="Segoe UI"/>
            <w:sz w:val="20"/>
            <w:szCs w:val="20"/>
          </w:rPr>
          <w:t>section</w:t>
        </w:r>
        <w:proofErr w:type="spellEnd"/>
        <w:r w:rsidR="000A38C1" w:rsidRPr="000A38C1">
          <w:rPr>
            <w:rStyle w:val="Hyperlink"/>
            <w:rFonts w:eastAsia="Times New Roman" w:cs="Segoe UI"/>
            <w:sz w:val="20"/>
            <w:szCs w:val="20"/>
          </w:rPr>
          <w:t xml:space="preserve"> XVII.2.7 intitulée « Activation des procédures d’urgence » du Manuel électronique de l’OMS.</w:t>
        </w:r>
      </w:hyperlink>
      <w:r w:rsidR="000A38C1">
        <w:rPr>
          <w:rFonts w:eastAsia="Times New Roman" w:cs="Segoe UI"/>
          <w:color w:val="444444"/>
          <w:sz w:val="20"/>
          <w:szCs w:val="20"/>
        </w:rPr>
        <w:t xml:space="preserve"> </w:t>
      </w:r>
      <w:proofErr w:type="spellStart"/>
      <w:r w:rsidR="000B6060" w:rsidRPr="001A57A5">
        <w:rPr>
          <w:rFonts w:eastAsia="Times New Roman" w:cs="Segoe UI"/>
          <w:color w:val="444444"/>
          <w:sz w:val="20"/>
          <w:szCs w:val="20"/>
        </w:rPr>
        <w:t>onnes</w:t>
      </w:r>
      <w:proofErr w:type="spellEnd"/>
      <w:r w:rsidR="000B6060" w:rsidRPr="001A57A5">
        <w:rPr>
          <w:rFonts w:eastAsia="Times New Roman" w:cs="Segoe UI"/>
          <w:color w:val="444444"/>
          <w:sz w:val="20"/>
          <w:szCs w:val="20"/>
        </w:rPr>
        <w:t xml:space="preserve"> qui demandent de tels services au titre d’événements ou de situations 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 xml:space="preserve">non encore </w:t>
      </w:r>
      <w:r w:rsidR="000B6060" w:rsidRPr="001A57A5">
        <w:rPr>
          <w:rFonts w:eastAsia="Times New Roman" w:cs="Segoe UI"/>
          <w:color w:val="444444"/>
          <w:sz w:val="20"/>
          <w:szCs w:val="20"/>
        </w:rPr>
        <w:t>class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 xml:space="preserve">és </w:t>
      </w:r>
      <w:r w:rsidR="000B6060" w:rsidRPr="001A57A5">
        <w:rPr>
          <w:rFonts w:eastAsia="Times New Roman" w:cs="Segoe UI"/>
          <w:color w:val="444444"/>
          <w:sz w:val="20"/>
          <w:szCs w:val="20"/>
        </w:rPr>
        <w:t xml:space="preserve">sont 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>chargée</w:t>
      </w:r>
      <w:r w:rsidR="000B6060" w:rsidRPr="001A57A5">
        <w:rPr>
          <w:rFonts w:eastAsia="Times New Roman" w:cs="Segoe UI"/>
          <w:color w:val="444444"/>
          <w:sz w:val="20"/>
          <w:szCs w:val="20"/>
        </w:rPr>
        <w:t>s et tenu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>e</w:t>
      </w:r>
      <w:r w:rsidR="000B6060" w:rsidRPr="001A57A5">
        <w:rPr>
          <w:rFonts w:eastAsia="Times New Roman" w:cs="Segoe UI"/>
          <w:color w:val="444444"/>
          <w:sz w:val="20"/>
          <w:szCs w:val="20"/>
        </w:rPr>
        <w:t>s de veiller à ce que leurs demandes satisfassent à au moins un des critères énoncés dans le Tableau 1.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> </w:t>
      </w:r>
    </w:p>
    <w:p w14:paraId="7197AE23" w14:textId="69CDB496" w:rsidR="009E5021" w:rsidRPr="001A57A5" w:rsidRDefault="001A57A5" w:rsidP="009E5021">
      <w:pPr>
        <w:spacing w:after="150" w:line="240" w:lineRule="auto"/>
        <w:rPr>
          <w:rFonts w:eastAsia="Times New Roman" w:cs="Segoe UI"/>
          <w:color w:val="444444"/>
          <w:sz w:val="20"/>
          <w:szCs w:val="20"/>
        </w:rPr>
      </w:pPr>
      <w:r>
        <w:rPr>
          <w:rFonts w:eastAsia="Times New Roman" w:cs="Segoe UI"/>
          <w:color w:val="444444"/>
          <w:sz w:val="20"/>
          <w:szCs w:val="20"/>
        </w:rPr>
        <w:t>60.   </w:t>
      </w:r>
      <w:r w:rsidR="000B6060" w:rsidRPr="001A57A5">
        <w:rPr>
          <w:rFonts w:eastAsia="Times New Roman" w:cs="Segoe UI"/>
          <w:color w:val="444444"/>
          <w:sz w:val="20"/>
          <w:szCs w:val="20"/>
        </w:rPr>
        <w:t>Le perso</w:t>
      </w:r>
      <w:r>
        <w:rPr>
          <w:rFonts w:eastAsia="Times New Roman" w:cs="Segoe UI"/>
          <w:color w:val="444444"/>
          <w:sz w:val="20"/>
          <w:szCs w:val="20"/>
        </w:rPr>
        <w:t>nnel autorisé doit informer le d</w:t>
      </w:r>
      <w:r w:rsidR="000B6060" w:rsidRPr="001A57A5">
        <w:rPr>
          <w:rFonts w:eastAsia="Times New Roman" w:cs="Segoe UI"/>
          <w:color w:val="444444"/>
          <w:sz w:val="20"/>
          <w:szCs w:val="20"/>
        </w:rPr>
        <w:t xml:space="preserve">irecteur du GSC ou lui communiquer les éléments suivants : </w:t>
      </w:r>
    </w:p>
    <w:p w14:paraId="6300701F" w14:textId="57F63C2A" w:rsidR="009E5021" w:rsidRPr="001A57A5" w:rsidRDefault="00CB214E" w:rsidP="000B6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>n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 xml:space="preserve">ature </w:t>
      </w:r>
      <w:r w:rsidR="000B6060" w:rsidRPr="001A57A5">
        <w:rPr>
          <w:rFonts w:eastAsia="Times New Roman" w:cs="Segoe UI"/>
          <w:color w:val="444444"/>
          <w:sz w:val="20"/>
          <w:szCs w:val="20"/>
        </w:rPr>
        <w:t>de la situation d’urgence et pays ou zone géographique touché(e)/s</w:t>
      </w:r>
      <w:r w:rsidRPr="001A57A5">
        <w:rPr>
          <w:rFonts w:eastAsia="Times New Roman" w:cs="Segoe UI"/>
          <w:color w:val="444444"/>
          <w:sz w:val="20"/>
          <w:szCs w:val="20"/>
        </w:rPr>
        <w:t> ;</w:t>
      </w:r>
    </w:p>
    <w:p w14:paraId="22DA3566" w14:textId="156DE955" w:rsidR="009E5021" w:rsidRPr="001A57A5" w:rsidRDefault="00CB214E" w:rsidP="009E5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 xml:space="preserve">brève 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>justification</w:t>
      </w:r>
      <w:r w:rsidRPr="001A57A5">
        <w:rPr>
          <w:rFonts w:eastAsia="Times New Roman" w:cs="Segoe UI"/>
          <w:color w:val="444444"/>
          <w:sz w:val="20"/>
          <w:szCs w:val="20"/>
        </w:rPr>
        <w:t> ;</w:t>
      </w:r>
    </w:p>
    <w:p w14:paraId="283F3F41" w14:textId="2DB825DB" w:rsidR="009E5021" w:rsidRPr="001A57A5" w:rsidRDefault="00CB214E" w:rsidP="00CB2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>t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 xml:space="preserve">ypes </w:t>
      </w:r>
      <w:r w:rsidRPr="001A57A5">
        <w:rPr>
          <w:rFonts w:eastAsia="Times New Roman" w:cs="Segoe UI"/>
          <w:color w:val="444444"/>
          <w:sz w:val="20"/>
          <w:szCs w:val="20"/>
        </w:rPr>
        <w:t>de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 xml:space="preserve"> transactions </w:t>
      </w:r>
      <w:r w:rsidRPr="001A57A5">
        <w:rPr>
          <w:rFonts w:eastAsia="Times New Roman" w:cs="Segoe UI"/>
          <w:color w:val="444444"/>
          <w:sz w:val="20"/>
          <w:szCs w:val="20"/>
        </w:rPr>
        <w:t xml:space="preserve">pour lesquels les services prioritaires sont demandés ; </w:t>
      </w:r>
    </w:p>
    <w:p w14:paraId="1D6A791B" w14:textId="76C30B18" w:rsidR="009E5021" w:rsidRPr="001A57A5" w:rsidRDefault="00CB214E" w:rsidP="009E5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 xml:space="preserve">durée prévue ; </w:t>
      </w:r>
    </w:p>
    <w:p w14:paraId="18B4C825" w14:textId="45E8C009" w:rsidR="009E5021" w:rsidRPr="001A57A5" w:rsidRDefault="00CB214E" w:rsidP="00CB2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>dérogations obtenues, le cas échéant, par la délégation de pouvoirs.</w:t>
      </w:r>
    </w:p>
    <w:p w14:paraId="6A6EE3EB" w14:textId="3714230B" w:rsidR="009E5021" w:rsidRPr="001A57A5" w:rsidRDefault="00235490" w:rsidP="009E5021">
      <w:pPr>
        <w:spacing w:after="150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>Pour identifier une situation d’urgence avant son classement, il convient de respecter les conventions suivantes en matière de dénomination</w:t>
      </w:r>
      <w:r w:rsidR="00CB214E" w:rsidRPr="001A57A5">
        <w:rPr>
          <w:rFonts w:eastAsia="Times New Roman" w:cs="Segoe UI"/>
          <w:color w:val="444444"/>
          <w:sz w:val="20"/>
          <w:szCs w:val="20"/>
        </w:rPr>
        <w:t> 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>:</w:t>
      </w:r>
    </w:p>
    <w:p w14:paraId="0C1642C2" w14:textId="6BF5965F" w:rsidR="00CB214E" w:rsidRPr="001A57A5" w:rsidRDefault="00CB214E" w:rsidP="003F178F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>«</w:t>
      </w:r>
      <w:r w:rsidR="003F178F" w:rsidRPr="001A57A5">
        <w:rPr>
          <w:rFonts w:eastAsia="Times New Roman" w:cs="Segoe UI"/>
          <w:color w:val="444444"/>
          <w:sz w:val="20"/>
          <w:szCs w:val="20"/>
        </w:rPr>
        <w:t> EMERGENCY </w:t>
      </w:r>
      <w:r w:rsidRPr="001A57A5">
        <w:rPr>
          <w:rFonts w:eastAsia="Times New Roman" w:cs="Segoe UI"/>
          <w:color w:val="444444"/>
          <w:sz w:val="20"/>
          <w:szCs w:val="20"/>
        </w:rPr>
        <w:t xml:space="preserve">» </w:t>
      </w:r>
      <w:r w:rsidR="003F178F" w:rsidRPr="001A57A5">
        <w:rPr>
          <w:rFonts w:eastAsia="Times New Roman" w:cs="Segoe UI"/>
          <w:color w:val="444444"/>
          <w:sz w:val="20"/>
          <w:szCs w:val="20"/>
        </w:rPr>
        <w:t>(URGENCE)</w:t>
      </w:r>
    </w:p>
    <w:p w14:paraId="4B80FB52" w14:textId="4616838D" w:rsidR="00CB214E" w:rsidRPr="001A57A5" w:rsidRDefault="001A57A5" w:rsidP="00CB214E">
      <w:pPr>
        <w:pStyle w:val="ListParagraph"/>
        <w:numPr>
          <w:ilvl w:val="1"/>
          <w:numId w:val="2"/>
        </w:numPr>
        <w:rPr>
          <w:rFonts w:eastAsia="Times New Roman" w:cs="Segoe UI"/>
          <w:color w:val="444444"/>
          <w:sz w:val="20"/>
          <w:szCs w:val="20"/>
        </w:rPr>
      </w:pPr>
      <w:r>
        <w:rPr>
          <w:rFonts w:eastAsia="Times New Roman" w:cs="Segoe UI"/>
          <w:color w:val="444444"/>
          <w:sz w:val="20"/>
          <w:szCs w:val="20"/>
        </w:rPr>
        <w:t>nom de l’évé</w:t>
      </w:r>
      <w:r w:rsidR="00CB214E" w:rsidRPr="001A57A5">
        <w:rPr>
          <w:rFonts w:eastAsia="Times New Roman" w:cs="Segoe UI"/>
          <w:color w:val="444444"/>
          <w:sz w:val="20"/>
          <w:szCs w:val="20"/>
        </w:rPr>
        <w:t>nement/la situation d’urgence en attente de classement</w:t>
      </w:r>
    </w:p>
    <w:p w14:paraId="6A7CD3DB" w14:textId="78024437" w:rsidR="00CB214E" w:rsidRPr="001A57A5" w:rsidRDefault="00CB214E" w:rsidP="00CB214E">
      <w:pPr>
        <w:pStyle w:val="ListParagraph"/>
        <w:numPr>
          <w:ilvl w:val="1"/>
          <w:numId w:val="2"/>
        </w:numPr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 xml:space="preserve">pays où </w:t>
      </w:r>
      <w:r w:rsidR="00235490" w:rsidRPr="001A57A5">
        <w:rPr>
          <w:rFonts w:eastAsia="Times New Roman" w:cs="Segoe UI"/>
          <w:color w:val="444444"/>
          <w:sz w:val="20"/>
          <w:szCs w:val="20"/>
        </w:rPr>
        <w:t>se déroule la crise</w:t>
      </w:r>
    </w:p>
    <w:p w14:paraId="7C8D5A84" w14:textId="2200E1BD" w:rsidR="00CB214E" w:rsidRPr="001A57A5" w:rsidRDefault="00CB214E" w:rsidP="003F178F">
      <w:pPr>
        <w:pStyle w:val="ListParagraph"/>
        <w:numPr>
          <w:ilvl w:val="1"/>
          <w:numId w:val="2"/>
        </w:numPr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  <w:u w:val="single"/>
        </w:rPr>
        <w:t>EXEMPLE</w:t>
      </w:r>
      <w:r w:rsidRPr="001A57A5">
        <w:rPr>
          <w:rFonts w:eastAsia="Times New Roman" w:cs="Segoe UI"/>
          <w:color w:val="444444"/>
          <w:sz w:val="20"/>
          <w:szCs w:val="20"/>
        </w:rPr>
        <w:t xml:space="preserve"> : </w:t>
      </w:r>
      <w:r w:rsidR="003F178F" w:rsidRPr="001A57A5">
        <w:rPr>
          <w:rFonts w:eastAsia="Times New Roman" w:cs="Segoe UI"/>
          <w:color w:val="444444"/>
          <w:sz w:val="20"/>
          <w:szCs w:val="20"/>
        </w:rPr>
        <w:t>EMERGENCY</w:t>
      </w:r>
      <w:r w:rsidR="001A57A5">
        <w:rPr>
          <w:rFonts w:eastAsia="Times New Roman" w:cs="Segoe UI"/>
          <w:color w:val="444444"/>
          <w:sz w:val="20"/>
          <w:szCs w:val="20"/>
        </w:rPr>
        <w:t xml:space="preserve"> : MERS-</w:t>
      </w:r>
      <w:r w:rsidRPr="001A57A5">
        <w:rPr>
          <w:rFonts w:eastAsia="Times New Roman" w:cs="Segoe UI"/>
          <w:color w:val="444444"/>
          <w:sz w:val="20"/>
          <w:szCs w:val="20"/>
        </w:rPr>
        <w:t>CoV QATAR</w:t>
      </w:r>
    </w:p>
    <w:p w14:paraId="2D1F7F2B" w14:textId="505199F4" w:rsidR="00EA3B0A" w:rsidRPr="001A57A5" w:rsidRDefault="00CB214E" w:rsidP="009E5021">
      <w:pPr>
        <w:spacing w:after="150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lastRenderedPageBreak/>
        <w:t>Le directeur du GSC informera les membres du personnel du GSC de la situation d’urgence en attente de classement pour laquelle des services accélérés seront fournis.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> </w:t>
      </w:r>
    </w:p>
    <w:p w14:paraId="2F62B876" w14:textId="188DE33A" w:rsidR="00EA3B0A" w:rsidRPr="001A57A5" w:rsidRDefault="00EA3B0A" w:rsidP="00EA3B0A">
      <w:pPr>
        <w:pStyle w:val="Heading4"/>
        <w:rPr>
          <w:rFonts w:ascii="Calibri" w:hAnsi="Calibri" w:cs="Calibri"/>
          <w:b w:val="0"/>
          <w:bCs w:val="0"/>
          <w:lang w:val="fr-FR"/>
        </w:rPr>
      </w:pPr>
      <w:r w:rsidRPr="001A57A5">
        <w:rPr>
          <w:rFonts w:ascii="Calibri" w:hAnsi="Calibri" w:cs="Calibri"/>
          <w:b w:val="0"/>
          <w:bCs w:val="0"/>
          <w:lang w:val="fr-FR"/>
        </w:rPr>
        <w:t>Tableau 1 : Services du GSC pour les événements/situations en attente de classement</w:t>
      </w:r>
    </w:p>
    <w:tbl>
      <w:tblPr>
        <w:tblW w:w="9072" w:type="dxa"/>
        <w:jc w:val="center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1590"/>
        <w:gridCol w:w="2296"/>
        <w:gridCol w:w="2714"/>
      </w:tblGrid>
      <w:tr w:rsidR="00EA3B0A" w:rsidRPr="001A57A5" w14:paraId="44C7DBC0" w14:textId="77777777" w:rsidTr="00D25710">
        <w:trPr>
          <w:trHeight w:val="283"/>
          <w:jc w:val="center"/>
        </w:trPr>
        <w:tc>
          <w:tcPr>
            <w:tcW w:w="250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94B4966" w14:textId="77777777" w:rsidR="00EA3B0A" w:rsidRPr="001A57A5" w:rsidRDefault="00EA3B0A">
            <w:pPr>
              <w:spacing w:after="0" w:line="240" w:lineRule="auto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1A57A5">
              <w:rPr>
                <w:rStyle w:val="Strong"/>
                <w:rFonts w:ascii="Calibri" w:hAnsi="Calibri" w:cs="Calibri"/>
                <w:color w:val="444444"/>
                <w:sz w:val="20"/>
                <w:szCs w:val="20"/>
              </w:rPr>
              <w:t>Critères</w:t>
            </w:r>
          </w:p>
        </w:tc>
        <w:tc>
          <w:tcPr>
            <w:tcW w:w="160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84BD9A5" w14:textId="77777777" w:rsidR="00EA3B0A" w:rsidRPr="001A57A5" w:rsidRDefault="00EA3B0A">
            <w:pPr>
              <w:spacing w:after="0" w:line="240" w:lineRule="auto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1A57A5">
              <w:rPr>
                <w:rStyle w:val="Strong"/>
                <w:rFonts w:ascii="Calibri" w:hAnsi="Calibri" w:cs="Calibri"/>
                <w:color w:val="444444"/>
                <w:sz w:val="20"/>
                <w:szCs w:val="20"/>
              </w:rPr>
              <w:t>Type de transaction</w:t>
            </w:r>
          </w:p>
        </w:tc>
        <w:tc>
          <w:tcPr>
            <w:tcW w:w="232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0E97810" w14:textId="77777777" w:rsidR="00EA3B0A" w:rsidRPr="001A57A5" w:rsidRDefault="00EA3B0A">
            <w:pPr>
              <w:spacing w:after="0" w:line="240" w:lineRule="auto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1A57A5">
              <w:rPr>
                <w:rStyle w:val="Strong"/>
                <w:rFonts w:ascii="Calibri" w:hAnsi="Calibri" w:cs="Calibri"/>
                <w:color w:val="444444"/>
                <w:sz w:val="20"/>
                <w:szCs w:val="20"/>
              </w:rPr>
              <w:t>Transactions concernées</w:t>
            </w:r>
          </w:p>
        </w:tc>
        <w:tc>
          <w:tcPr>
            <w:tcW w:w="27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AFF7F2" w14:textId="77777777" w:rsidR="00EA3B0A" w:rsidRPr="001A57A5" w:rsidRDefault="00EA3B0A">
            <w:pPr>
              <w:spacing w:after="0" w:line="240" w:lineRule="auto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1A57A5">
              <w:rPr>
                <w:rStyle w:val="Strong"/>
                <w:rFonts w:ascii="Calibri" w:hAnsi="Calibri" w:cs="Calibri"/>
                <w:color w:val="444444"/>
                <w:sz w:val="20"/>
                <w:szCs w:val="20"/>
              </w:rPr>
              <w:t xml:space="preserve">Transactions </w:t>
            </w:r>
            <w:r w:rsidRPr="001A57A5">
              <w:rPr>
                <w:rStyle w:val="Strong"/>
                <w:rFonts w:ascii="Calibri" w:hAnsi="Calibri" w:cs="Calibri"/>
                <w:color w:val="444444"/>
                <w:sz w:val="20"/>
                <w:szCs w:val="20"/>
                <w:u w:val="single"/>
              </w:rPr>
              <w:t xml:space="preserve">NON </w:t>
            </w:r>
            <w:r w:rsidRPr="001A57A5">
              <w:rPr>
                <w:rStyle w:val="Strong"/>
                <w:rFonts w:ascii="Calibri" w:hAnsi="Calibri" w:cs="Calibri"/>
                <w:color w:val="444444"/>
                <w:sz w:val="20"/>
                <w:szCs w:val="20"/>
              </w:rPr>
              <w:t>concernées</w:t>
            </w:r>
          </w:p>
        </w:tc>
      </w:tr>
      <w:tr w:rsidR="00EA3B0A" w:rsidRPr="001A57A5" w14:paraId="30C109BD" w14:textId="77777777" w:rsidTr="00D25710">
        <w:trPr>
          <w:trHeight w:val="283"/>
          <w:jc w:val="center"/>
        </w:trPr>
        <w:tc>
          <w:tcPr>
            <w:tcW w:w="2500" w:type="dxa"/>
            <w:vMerge w:val="restar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246309D" w14:textId="77777777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L’une des options suivantes :</w:t>
            </w:r>
          </w:p>
          <w:p w14:paraId="19C3C50A" w14:textId="77777777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</w:p>
          <w:p w14:paraId="066AC77C" w14:textId="77777777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ind w:left="397" w:hanging="397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1.</w:t>
            </w: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ab/>
              <w:t>Détérioration d’une crise existante</w:t>
            </w:r>
          </w:p>
          <w:p w14:paraId="49739206" w14:textId="33FCD1EE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</w:p>
          <w:p w14:paraId="71B5CFEF" w14:textId="77777777" w:rsidR="00EA3B0A" w:rsidRPr="001A57A5" w:rsidRDefault="00EA3B0A" w:rsidP="001A57A5">
            <w:pPr>
              <w:pStyle w:val="NormalWeb"/>
              <w:spacing w:before="0" w:beforeAutospacing="0" w:after="0" w:afterAutospacing="0" w:line="276" w:lineRule="auto"/>
              <w:ind w:firstLine="426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OU</w:t>
            </w:r>
          </w:p>
          <w:p w14:paraId="66F70945" w14:textId="77777777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ind w:left="397" w:hanging="397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2.</w:t>
            </w: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ab/>
              <w:t xml:space="preserve">Préparation ou prévention de l’intensification du risque ou de l’événement </w:t>
            </w:r>
          </w:p>
          <w:p w14:paraId="2E2B893D" w14:textId="77777777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</w:p>
          <w:p w14:paraId="573CB596" w14:textId="77777777" w:rsidR="00EA3B0A" w:rsidRPr="001A57A5" w:rsidRDefault="00EA3B0A" w:rsidP="001A57A5">
            <w:pPr>
              <w:pStyle w:val="NormalWeb"/>
              <w:spacing w:before="0" w:beforeAutospacing="0" w:after="0" w:afterAutospacing="0" w:line="276" w:lineRule="auto"/>
              <w:ind w:firstLine="426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OU</w:t>
            </w:r>
          </w:p>
          <w:p w14:paraId="4F0F1FD2" w14:textId="42B80287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ind w:left="397" w:hanging="397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3.</w:t>
            </w: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ab/>
              <w:t>Projets d’urgence d’une durée de moins de 6 mois (par exemple les subventions pour</w:t>
            </w:r>
            <w:r w:rsid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 xml:space="preserve"> les interventions rapides de </w:t>
            </w:r>
            <w:r w:rsidR="00FF52BB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3 </w:t>
            </w: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 xml:space="preserve">mois attribuées par le Fonds central des Nations Unies pour les interventions d’urgence (CERF), les subventions d’urgence attribuées par la </w:t>
            </w:r>
            <w:r w:rsid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d</w:t>
            </w: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 xml:space="preserve">irection générale Protection civile et opérations d’aide humanitaire </w:t>
            </w:r>
            <w:bookmarkStart w:id="1" w:name="hit6"/>
            <w:bookmarkEnd w:id="1"/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européennes (</w:t>
            </w:r>
            <w:bookmarkStart w:id="2" w:name="hit_last"/>
            <w:bookmarkEnd w:id="2"/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ECHO))</w:t>
            </w:r>
          </w:p>
          <w:p w14:paraId="12449D73" w14:textId="77777777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</w:p>
          <w:p w14:paraId="6D58F64D" w14:textId="77777777" w:rsidR="00EA3B0A" w:rsidRPr="001A57A5" w:rsidRDefault="00EA3B0A" w:rsidP="001A57A5">
            <w:pPr>
              <w:pStyle w:val="NormalWeb"/>
              <w:spacing w:before="0" w:beforeAutospacing="0" w:after="0" w:afterAutospacing="0" w:line="276" w:lineRule="auto"/>
              <w:ind w:firstLine="426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OU</w:t>
            </w:r>
          </w:p>
          <w:p w14:paraId="08EDEAA7" w14:textId="77777777" w:rsidR="00EA3B0A" w:rsidRPr="001A57A5" w:rsidRDefault="00EA3B0A">
            <w:pPr>
              <w:spacing w:after="0" w:line="240" w:lineRule="auto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</w:rPr>
              <w:t>Demande ponctuelle pour laquelle le demandeur doit fournir des renseignements complets</w:t>
            </w:r>
          </w:p>
        </w:tc>
        <w:tc>
          <w:tcPr>
            <w:tcW w:w="160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4FB3C1" w14:textId="77777777" w:rsidR="00EA3B0A" w:rsidRPr="001A57A5" w:rsidRDefault="00EA3B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Voyages du personnel </w:t>
            </w:r>
          </w:p>
        </w:tc>
        <w:tc>
          <w:tcPr>
            <w:tcW w:w="232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AFB799" w14:textId="667D30EE" w:rsidR="00EA3B0A" w:rsidRPr="001A57A5" w:rsidRDefault="00EA3B0A">
            <w:pPr>
              <w:spacing w:after="0" w:line="240" w:lineRule="auto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Voyage </w:t>
            </w:r>
            <w:r w:rsidR="00BF0C6F" w:rsidRPr="001A57A5"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en mission pour apporter un soutien opérationnel direct face aux </w:t>
            </w:r>
            <w:r w:rsidR="001A57A5">
              <w:rPr>
                <w:rFonts w:ascii="Calibri" w:hAnsi="Calibri" w:cs="Calibri"/>
                <w:color w:val="444444"/>
                <w:sz w:val="20"/>
                <w:szCs w:val="20"/>
              </w:rPr>
              <w:t>événements</w:t>
            </w:r>
            <w:r w:rsidR="00BF0C6F" w:rsidRPr="001A57A5"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 de santé publique o</w:t>
            </w:r>
            <w:r w:rsidR="001A57A5">
              <w:rPr>
                <w:rFonts w:ascii="Calibri" w:hAnsi="Calibri" w:cs="Calibri"/>
                <w:color w:val="444444"/>
                <w:sz w:val="20"/>
                <w:szCs w:val="20"/>
              </w:rPr>
              <w:t>u situations d’urgence classées</w:t>
            </w:r>
          </w:p>
        </w:tc>
        <w:tc>
          <w:tcPr>
            <w:tcW w:w="27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23432C" w14:textId="77777777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Voyage pour se rendre aux réunions</w:t>
            </w:r>
          </w:p>
          <w:p w14:paraId="51D4B99D" w14:textId="77777777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Voyage pour se rendre au Siège</w:t>
            </w:r>
          </w:p>
          <w:p w14:paraId="68E19293" w14:textId="77777777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Voyage pour se rendre dans les bureaux régionaux (à moins que l’objectif ne soit de fournir des moyens supplémentaires)</w:t>
            </w:r>
          </w:p>
        </w:tc>
      </w:tr>
      <w:tr w:rsidR="00EA3B0A" w:rsidRPr="001A57A5" w14:paraId="696FA452" w14:textId="77777777" w:rsidTr="00D25710">
        <w:trPr>
          <w:trHeight w:val="283"/>
          <w:jc w:val="center"/>
        </w:trPr>
        <w:tc>
          <w:tcPr>
            <w:tcW w:w="2500" w:type="dxa"/>
            <w:vMerge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14:paraId="789F668E" w14:textId="77777777" w:rsidR="00EA3B0A" w:rsidRPr="001A57A5" w:rsidRDefault="00EA3B0A">
            <w:pPr>
              <w:spacing w:after="0"/>
              <w:rPr>
                <w:rFonts w:ascii="Calibri" w:hAnsi="Calibri" w:cs="Calibri"/>
                <w:color w:val="444444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2E600E" w14:textId="77777777" w:rsidR="00EA3B0A" w:rsidRPr="001A57A5" w:rsidRDefault="00EA3B0A">
            <w:pPr>
              <w:spacing w:after="0" w:line="240" w:lineRule="auto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</w:rPr>
              <w:t>Recrutement, entrée en fonction et prolongation de contrat, cessation de service</w:t>
            </w:r>
          </w:p>
        </w:tc>
        <w:tc>
          <w:tcPr>
            <w:tcW w:w="232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27C657" w14:textId="77777777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Recrutement et entrée en fonctions, prolongation de contrat, cessation de service pour les lieux d’affectation hors Siège</w:t>
            </w:r>
          </w:p>
        </w:tc>
        <w:tc>
          <w:tcPr>
            <w:tcW w:w="27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F0B57E" w14:textId="77777777" w:rsidR="00EA3B0A" w:rsidRPr="001A57A5" w:rsidRDefault="00EA3B0A">
            <w:pPr>
              <w:spacing w:after="0" w:line="240" w:lineRule="auto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</w:rPr>
              <w:t>Recrutement et cessation de service pour le Siège et les bureaux régionaux (à moins que l’objectif ne soit de fournir des moyens supplémentaires)</w:t>
            </w:r>
          </w:p>
        </w:tc>
      </w:tr>
      <w:tr w:rsidR="00EA3B0A" w:rsidRPr="001A57A5" w14:paraId="5322FA22" w14:textId="77777777" w:rsidTr="00D25710">
        <w:trPr>
          <w:trHeight w:val="283"/>
          <w:jc w:val="center"/>
        </w:trPr>
        <w:tc>
          <w:tcPr>
            <w:tcW w:w="2500" w:type="dxa"/>
            <w:vMerge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14:paraId="7AFFE03C" w14:textId="77777777" w:rsidR="00EA3B0A" w:rsidRPr="001A57A5" w:rsidRDefault="00EA3B0A">
            <w:pPr>
              <w:spacing w:after="0"/>
              <w:rPr>
                <w:rFonts w:ascii="Calibri" w:hAnsi="Calibri" w:cs="Calibri"/>
                <w:color w:val="444444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4A6711" w14:textId="77777777" w:rsidR="00EA3B0A" w:rsidRPr="001A57A5" w:rsidRDefault="00EA3B0A">
            <w:pPr>
              <w:spacing w:after="0" w:line="240" w:lineRule="auto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</w:rPr>
              <w:t>Achat de biens et de services</w:t>
            </w:r>
          </w:p>
        </w:tc>
        <w:tc>
          <w:tcPr>
            <w:tcW w:w="232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60C806" w14:textId="5CC9887F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Achats d’urgence en v</w:t>
            </w:r>
            <w:r w:rsidR="00FF52BB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ue d’un acheminement dans les 6 </w:t>
            </w: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 xml:space="preserve">mois </w:t>
            </w:r>
          </w:p>
        </w:tc>
        <w:tc>
          <w:tcPr>
            <w:tcW w:w="27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E667A4" w14:textId="0296333C" w:rsidR="00EA3B0A" w:rsidRPr="001A57A5" w:rsidRDefault="00EA3B0A">
            <w:pPr>
              <w:spacing w:after="0" w:line="240" w:lineRule="auto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</w:rPr>
              <w:t>Achats pour les projets d’urgence d’une durée d</w:t>
            </w:r>
            <w:r w:rsidR="00D45824">
              <w:rPr>
                <w:rFonts w:ascii="Calibri" w:hAnsi="Calibri" w:cs="Calibri"/>
                <w:color w:val="444444"/>
                <w:sz w:val="20"/>
                <w:szCs w:val="20"/>
              </w:rPr>
              <w:t>e plus de 6 </w:t>
            </w:r>
            <w:r w:rsidRPr="001A57A5">
              <w:rPr>
                <w:rFonts w:ascii="Calibri" w:hAnsi="Calibri" w:cs="Calibri"/>
                <w:color w:val="444444"/>
                <w:sz w:val="20"/>
                <w:szCs w:val="20"/>
              </w:rPr>
              <w:t>mois</w:t>
            </w:r>
          </w:p>
        </w:tc>
      </w:tr>
      <w:tr w:rsidR="00EA3B0A" w:rsidRPr="001A57A5" w14:paraId="614EE9DA" w14:textId="77777777" w:rsidTr="00D25710">
        <w:trPr>
          <w:trHeight w:val="283"/>
          <w:jc w:val="center"/>
        </w:trPr>
        <w:tc>
          <w:tcPr>
            <w:tcW w:w="2500" w:type="dxa"/>
            <w:vMerge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14:paraId="7FE2D858" w14:textId="77777777" w:rsidR="00EA3B0A" w:rsidRPr="001A57A5" w:rsidRDefault="00EA3B0A">
            <w:pPr>
              <w:spacing w:after="0"/>
              <w:rPr>
                <w:rFonts w:ascii="Calibri" w:hAnsi="Calibri" w:cs="Calibri"/>
                <w:color w:val="444444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C929AAF" w14:textId="77777777" w:rsidR="00EA3B0A" w:rsidRPr="001A57A5" w:rsidRDefault="00EA3B0A">
            <w:pPr>
              <w:spacing w:after="0" w:line="240" w:lineRule="auto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</w:rPr>
              <w:t>Enregistrement des fournisseurs</w:t>
            </w:r>
          </w:p>
        </w:tc>
        <w:tc>
          <w:tcPr>
            <w:tcW w:w="232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450902" w14:textId="77777777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 xml:space="preserve">Traitement de l’enregistrement des fournisseurs pour les ONG partenaires d’exécution au titre du </w:t>
            </w:r>
            <w:bookmarkStart w:id="3" w:name="hit1"/>
            <w:bookmarkEnd w:id="3"/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CERF et d’autres projets d’urgence</w:t>
            </w:r>
          </w:p>
        </w:tc>
        <w:tc>
          <w:tcPr>
            <w:tcW w:w="27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777EF8" w14:textId="2FB66F29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 xml:space="preserve">Création des profils de fournisseurs pour les fournisseurs </w:t>
            </w:r>
            <w:r w:rsidR="009A6D99"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n’</w:t>
            </w: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 xml:space="preserve">appartenant </w:t>
            </w:r>
            <w:r w:rsidR="009A6D99"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 xml:space="preserve">pas aux ONG partenaires </w:t>
            </w:r>
          </w:p>
        </w:tc>
      </w:tr>
      <w:tr w:rsidR="00EA3B0A" w:rsidRPr="001A57A5" w14:paraId="3FD698C8" w14:textId="77777777" w:rsidTr="00D25710">
        <w:trPr>
          <w:trHeight w:val="283"/>
          <w:jc w:val="center"/>
        </w:trPr>
        <w:tc>
          <w:tcPr>
            <w:tcW w:w="2500" w:type="dxa"/>
            <w:vMerge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14:paraId="2B6E307B" w14:textId="77777777" w:rsidR="00EA3B0A" w:rsidRPr="001A57A5" w:rsidRDefault="00EA3B0A">
            <w:pPr>
              <w:spacing w:after="0"/>
              <w:rPr>
                <w:rFonts w:ascii="Calibri" w:hAnsi="Calibri" w:cs="Calibri"/>
                <w:color w:val="444444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46A1D2" w14:textId="77777777" w:rsidR="00EA3B0A" w:rsidRPr="001A57A5" w:rsidRDefault="00EA3B0A">
            <w:pPr>
              <w:spacing w:after="0" w:line="240" w:lineRule="auto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</w:rPr>
              <w:t>Paiement</w:t>
            </w:r>
          </w:p>
        </w:tc>
        <w:tc>
          <w:tcPr>
            <w:tcW w:w="232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BAC589" w14:textId="77777777" w:rsidR="00EA3B0A" w:rsidRPr="001A57A5" w:rsidRDefault="00EA3B0A">
            <w:pPr>
              <w:spacing w:after="0" w:line="240" w:lineRule="auto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</w:rPr>
              <w:t>Paiements aux ONG partenaires d’exécution au titre du CERF et d’autres projets d’urgence</w:t>
            </w:r>
          </w:p>
        </w:tc>
        <w:tc>
          <w:tcPr>
            <w:tcW w:w="27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390736" w14:textId="77777777" w:rsidR="00EA3B0A" w:rsidRPr="001A57A5" w:rsidRDefault="00EA3B0A">
            <w:pPr>
              <w:spacing w:after="0" w:line="240" w:lineRule="auto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</w:rPr>
              <w:t>Tout autre type de paiement</w:t>
            </w:r>
          </w:p>
        </w:tc>
      </w:tr>
      <w:tr w:rsidR="00EA3B0A" w:rsidRPr="001A57A5" w14:paraId="3478BB53" w14:textId="77777777" w:rsidTr="00D25710">
        <w:trPr>
          <w:trHeight w:val="283"/>
          <w:jc w:val="center"/>
        </w:trPr>
        <w:tc>
          <w:tcPr>
            <w:tcW w:w="2500" w:type="dxa"/>
            <w:vMerge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14:paraId="26AFF55E" w14:textId="77777777" w:rsidR="00EA3B0A" w:rsidRPr="001A57A5" w:rsidRDefault="00EA3B0A">
            <w:pPr>
              <w:spacing w:after="0"/>
              <w:rPr>
                <w:rFonts w:ascii="Calibri" w:hAnsi="Calibri" w:cs="Calibri"/>
                <w:color w:val="444444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64E047" w14:textId="77777777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Annulation des charges financières </w:t>
            </w:r>
          </w:p>
        </w:tc>
        <w:tc>
          <w:tcPr>
            <w:tcW w:w="232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FCE86D" w14:textId="745A0EA2" w:rsidR="00EA3B0A" w:rsidRPr="001A57A5" w:rsidRDefault="00EA3B0A">
            <w:pPr>
              <w:spacing w:after="0" w:line="240" w:lineRule="auto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Annulation des charges financières pour les projets </w:t>
            </w:r>
            <w:r w:rsidR="00BF0C6F" w:rsidRPr="001A57A5"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d’urgence </w:t>
            </w:r>
            <w:r w:rsidRPr="001A57A5">
              <w:rPr>
                <w:rFonts w:ascii="Calibri" w:hAnsi="Calibri" w:cs="Calibri"/>
                <w:color w:val="444444"/>
                <w:sz w:val="20"/>
                <w:szCs w:val="20"/>
              </w:rPr>
              <w:t>de moins de 6 mois (afin que l’intégralité des fonds du projet soient utilisés avant les échéances)</w:t>
            </w:r>
          </w:p>
        </w:tc>
        <w:tc>
          <w:tcPr>
            <w:tcW w:w="27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6D4EE7" w14:textId="77777777" w:rsidR="00EA3B0A" w:rsidRPr="001A57A5" w:rsidRDefault="00EA3B0A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</w:pPr>
            <w:r w:rsidRPr="001A57A5">
              <w:rPr>
                <w:rFonts w:ascii="Calibri" w:hAnsi="Calibri" w:cs="Calibri"/>
                <w:color w:val="444444"/>
                <w:sz w:val="20"/>
                <w:szCs w:val="20"/>
                <w:lang w:val="fr-FR"/>
              </w:rPr>
              <w:t>Tout autre type d’annulation des charges financières</w:t>
            </w:r>
          </w:p>
        </w:tc>
      </w:tr>
    </w:tbl>
    <w:p w14:paraId="16B73CF7" w14:textId="77777777" w:rsidR="00EA3B0A" w:rsidRPr="001A57A5" w:rsidRDefault="00EA3B0A" w:rsidP="00EA3B0A">
      <w:pPr>
        <w:rPr>
          <w:rFonts w:ascii="Calibri" w:eastAsiaTheme="majorEastAsia" w:hAnsi="Calibri" w:cs="Calibri"/>
          <w:i/>
          <w:iCs/>
          <w:color w:val="777777"/>
          <w:sz w:val="20"/>
          <w:szCs w:val="20"/>
        </w:rPr>
      </w:pPr>
      <w:r w:rsidRPr="001A57A5">
        <w:rPr>
          <w:rFonts w:ascii="Calibri" w:hAnsi="Calibri" w:cs="Calibri"/>
          <w:b/>
          <w:bCs/>
          <w:color w:val="777777"/>
          <w:sz w:val="20"/>
          <w:szCs w:val="20"/>
        </w:rPr>
        <w:br w:type="page"/>
      </w:r>
    </w:p>
    <w:p w14:paraId="377E3E23" w14:textId="728B3C06" w:rsidR="009E5021" w:rsidRPr="001A57A5" w:rsidRDefault="00BD565E" w:rsidP="009E5021">
      <w:pPr>
        <w:spacing w:before="100" w:beforeAutospacing="1" w:after="100" w:afterAutospacing="1" w:line="240" w:lineRule="auto"/>
        <w:outlineLvl w:val="3"/>
        <w:rPr>
          <w:rFonts w:eastAsia="Times New Roman" w:cs="Segoe UI"/>
          <w:b/>
          <w:sz w:val="24"/>
          <w:szCs w:val="24"/>
        </w:rPr>
      </w:pPr>
      <w:r w:rsidRPr="001A57A5">
        <w:rPr>
          <w:rFonts w:eastAsia="Times New Roman" w:cs="Segoe UI"/>
          <w:b/>
          <w:sz w:val="24"/>
          <w:szCs w:val="24"/>
        </w:rPr>
        <w:lastRenderedPageBreak/>
        <w:t xml:space="preserve">Comment traiter les transactions à la fois pour les événements autorisés avant leur classement </w:t>
      </w:r>
      <w:r w:rsidR="003F178F" w:rsidRPr="001A57A5">
        <w:rPr>
          <w:rFonts w:eastAsia="Times New Roman" w:cs="Segoe UI"/>
          <w:b/>
          <w:sz w:val="24"/>
          <w:szCs w:val="24"/>
        </w:rPr>
        <w:t xml:space="preserve">et </w:t>
      </w:r>
      <w:r w:rsidRPr="001A57A5">
        <w:rPr>
          <w:rFonts w:eastAsia="Times New Roman" w:cs="Segoe UI"/>
          <w:b/>
          <w:sz w:val="24"/>
          <w:szCs w:val="24"/>
        </w:rPr>
        <w:t xml:space="preserve">les situations d’urgence classées en cours </w:t>
      </w:r>
    </w:p>
    <w:p w14:paraId="0122A574" w14:textId="4FFF782F" w:rsidR="009E5021" w:rsidRPr="001A57A5" w:rsidRDefault="001A57A5" w:rsidP="009E5021">
      <w:pPr>
        <w:spacing w:after="150" w:line="240" w:lineRule="auto"/>
        <w:rPr>
          <w:rFonts w:eastAsia="Times New Roman" w:cs="Segoe UI"/>
          <w:color w:val="444444"/>
          <w:sz w:val="20"/>
          <w:szCs w:val="20"/>
        </w:rPr>
      </w:pPr>
      <w:r>
        <w:rPr>
          <w:rFonts w:eastAsia="Times New Roman" w:cs="Segoe UI"/>
          <w:color w:val="444444"/>
          <w:sz w:val="20"/>
          <w:szCs w:val="20"/>
        </w:rPr>
        <w:t>70.   </w:t>
      </w:r>
      <w:r w:rsidR="00BD565E" w:rsidRPr="001A57A5">
        <w:rPr>
          <w:rFonts w:eastAsia="Times New Roman" w:cs="Segoe UI"/>
          <w:color w:val="444444"/>
          <w:sz w:val="20"/>
          <w:szCs w:val="20"/>
        </w:rPr>
        <w:t xml:space="preserve">Le membre du personnel lance une transaction GSM en cochant « emergency/urgence » (le cas échéant) et </w:t>
      </w:r>
      <w:r w:rsidR="00675951" w:rsidRPr="001A57A5">
        <w:rPr>
          <w:rFonts w:eastAsia="Times New Roman" w:cs="Segoe UI"/>
          <w:color w:val="444444"/>
          <w:sz w:val="20"/>
          <w:szCs w:val="20"/>
        </w:rPr>
        <w:t xml:space="preserve">donne </w:t>
      </w:r>
      <w:r w:rsidR="00BD565E" w:rsidRPr="001A57A5">
        <w:rPr>
          <w:rFonts w:eastAsia="Times New Roman" w:cs="Segoe UI"/>
          <w:color w:val="444444"/>
          <w:sz w:val="20"/>
          <w:szCs w:val="20"/>
        </w:rPr>
        <w:t>les informations suivantes dans le champ intitulé « Description » ou « Remarks » </w:t>
      </w:r>
      <w:r w:rsidR="003F178F" w:rsidRPr="001A57A5">
        <w:rPr>
          <w:rFonts w:eastAsia="Times New Roman" w:cs="Segoe UI"/>
          <w:color w:val="444444"/>
          <w:sz w:val="20"/>
          <w:szCs w:val="20"/>
        </w:rPr>
        <w:t>(Observations) </w:t>
      </w:r>
      <w:r w:rsidR="00BD565E" w:rsidRPr="001A57A5">
        <w:rPr>
          <w:rFonts w:eastAsia="Times New Roman" w:cs="Segoe UI"/>
          <w:color w:val="444444"/>
          <w:sz w:val="20"/>
          <w:szCs w:val="20"/>
        </w:rPr>
        <w:t>:</w:t>
      </w:r>
    </w:p>
    <w:p w14:paraId="29320A5D" w14:textId="420356EA" w:rsidR="009E5021" w:rsidRPr="001A57A5" w:rsidRDefault="00103E4F" w:rsidP="00431A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>« 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>EMERGENCY</w:t>
      </w:r>
      <w:r w:rsidRPr="001A57A5">
        <w:rPr>
          <w:rFonts w:eastAsia="Times New Roman" w:cs="Segoe UI"/>
          <w:color w:val="444444"/>
          <w:sz w:val="20"/>
          <w:szCs w:val="20"/>
        </w:rPr>
        <w:t> » (</w:t>
      </w:r>
      <w:r w:rsidR="00BD565E" w:rsidRPr="001A57A5">
        <w:rPr>
          <w:rFonts w:eastAsia="Times New Roman" w:cs="Segoe UI"/>
          <w:color w:val="444444"/>
          <w:sz w:val="20"/>
          <w:szCs w:val="20"/>
        </w:rPr>
        <w:t>URGENCE</w:t>
      </w:r>
      <w:r w:rsidRPr="001A57A5">
        <w:rPr>
          <w:rFonts w:eastAsia="Times New Roman" w:cs="Segoe UI"/>
          <w:color w:val="444444"/>
          <w:sz w:val="20"/>
          <w:szCs w:val="20"/>
        </w:rPr>
        <w:t>)</w:t>
      </w:r>
      <w:r w:rsidR="009E53FD" w:rsidRPr="001A57A5">
        <w:rPr>
          <w:rFonts w:eastAsia="Times New Roman" w:cs="Segoe UI"/>
          <w:color w:val="444444"/>
          <w:sz w:val="20"/>
          <w:szCs w:val="20"/>
        </w:rPr>
        <w:t> ;</w:t>
      </w:r>
    </w:p>
    <w:p w14:paraId="7FC4669A" w14:textId="628B33A9" w:rsidR="009E5021" w:rsidRPr="001A57A5" w:rsidRDefault="00431A7D" w:rsidP="00431A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Segoe UI"/>
          <w:color w:val="444444"/>
          <w:sz w:val="20"/>
          <w:szCs w:val="20"/>
        </w:rPr>
      </w:pPr>
      <w:bookmarkStart w:id="4" w:name="_Hlk522015078"/>
      <w:r w:rsidRPr="001A57A5">
        <w:rPr>
          <w:rFonts w:eastAsia="Times New Roman" w:cs="Segoe UI"/>
          <w:color w:val="444444"/>
          <w:sz w:val="20"/>
          <w:szCs w:val="20"/>
        </w:rPr>
        <w:t>intitulé de l’événement ou de la situation en attente de classement ou de la situation d’urgence officiellement reconnue</w:t>
      </w:r>
      <w:r w:rsidR="009E53FD" w:rsidRPr="001A57A5">
        <w:rPr>
          <w:rFonts w:eastAsia="Times New Roman" w:cs="Segoe UI"/>
          <w:color w:val="444444"/>
          <w:sz w:val="20"/>
          <w:szCs w:val="20"/>
        </w:rPr>
        <w:t> ;</w:t>
      </w:r>
      <w:r w:rsidRPr="001A57A5">
        <w:rPr>
          <w:rFonts w:eastAsia="Times New Roman" w:cs="Segoe UI"/>
          <w:color w:val="444444"/>
          <w:sz w:val="20"/>
          <w:szCs w:val="20"/>
        </w:rPr>
        <w:t xml:space="preserve"> </w:t>
      </w:r>
    </w:p>
    <w:p w14:paraId="3709E32C" w14:textId="28A81BF9" w:rsidR="00431A7D" w:rsidRPr="001A57A5" w:rsidRDefault="00431A7D" w:rsidP="0074463E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>pays où se déroule la crise</w:t>
      </w:r>
      <w:r w:rsidR="009E53FD" w:rsidRPr="001A57A5">
        <w:rPr>
          <w:rFonts w:eastAsia="Times New Roman" w:cs="Segoe UI"/>
          <w:color w:val="444444"/>
          <w:sz w:val="20"/>
          <w:szCs w:val="20"/>
        </w:rPr>
        <w:t> ;</w:t>
      </w:r>
    </w:p>
    <w:p w14:paraId="3C2DB316" w14:textId="067AF49B" w:rsidR="009E5021" w:rsidRPr="001A57A5" w:rsidRDefault="009E5021" w:rsidP="00675951">
      <w:pPr>
        <w:pStyle w:val="ListParagraph"/>
        <w:spacing w:before="100" w:beforeAutospacing="1" w:after="100" w:afterAutospacing="1" w:line="240" w:lineRule="auto"/>
        <w:ind w:left="1440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  <w:u w:val="single"/>
        </w:rPr>
        <w:t>EX</w:t>
      </w:r>
      <w:r w:rsidR="00431A7D" w:rsidRPr="001A57A5">
        <w:rPr>
          <w:rFonts w:eastAsia="Times New Roman" w:cs="Segoe UI"/>
          <w:color w:val="444444"/>
          <w:sz w:val="20"/>
          <w:szCs w:val="20"/>
          <w:u w:val="single"/>
        </w:rPr>
        <w:t>E</w:t>
      </w:r>
      <w:r w:rsidRPr="001A57A5">
        <w:rPr>
          <w:rFonts w:eastAsia="Times New Roman" w:cs="Segoe UI"/>
          <w:color w:val="444444"/>
          <w:sz w:val="20"/>
          <w:szCs w:val="20"/>
          <w:u w:val="single"/>
        </w:rPr>
        <w:t>MPLE</w:t>
      </w:r>
      <w:r w:rsidR="00431A7D" w:rsidRPr="00D25710">
        <w:rPr>
          <w:rFonts w:eastAsia="Times New Roman" w:cs="Segoe UI"/>
          <w:color w:val="444444"/>
          <w:sz w:val="20"/>
          <w:szCs w:val="20"/>
        </w:rPr>
        <w:t xml:space="preserve"> </w:t>
      </w:r>
      <w:r w:rsidRPr="001A57A5">
        <w:rPr>
          <w:rFonts w:eastAsia="Times New Roman" w:cs="Segoe UI"/>
          <w:color w:val="444444"/>
          <w:sz w:val="20"/>
          <w:szCs w:val="20"/>
        </w:rPr>
        <w:t>: </w:t>
      </w:r>
      <w:r w:rsidR="00103E4F" w:rsidRPr="001A57A5">
        <w:rPr>
          <w:rFonts w:eastAsia="Times New Roman" w:cs="Segoe UI"/>
          <w:color w:val="444444"/>
          <w:sz w:val="20"/>
          <w:szCs w:val="20"/>
        </w:rPr>
        <w:t>EMERGENCY </w:t>
      </w:r>
      <w:r w:rsidR="001A57A5">
        <w:rPr>
          <w:rFonts w:eastAsia="Times New Roman" w:cs="Segoe UI"/>
          <w:color w:val="444444"/>
          <w:sz w:val="20"/>
          <w:szCs w:val="20"/>
        </w:rPr>
        <w:t>: MERS-</w:t>
      </w:r>
      <w:r w:rsidRPr="001A57A5">
        <w:rPr>
          <w:rFonts w:eastAsia="Times New Roman" w:cs="Segoe UI"/>
          <w:color w:val="444444"/>
          <w:sz w:val="20"/>
          <w:szCs w:val="20"/>
        </w:rPr>
        <w:t>CoV QATAR</w:t>
      </w:r>
      <w:r w:rsidR="00F95999" w:rsidRPr="001A57A5">
        <w:rPr>
          <w:rFonts w:eastAsia="Times New Roman" w:cs="Segoe UI"/>
          <w:color w:val="444444"/>
          <w:sz w:val="20"/>
          <w:szCs w:val="20"/>
        </w:rPr>
        <w:t>.</w:t>
      </w:r>
    </w:p>
    <w:bookmarkEnd w:id="4"/>
    <w:p w14:paraId="03D14D6E" w14:textId="5362A580" w:rsidR="00103E4F" w:rsidRPr="001A57A5" w:rsidRDefault="00103E4F" w:rsidP="009E5021">
      <w:pPr>
        <w:spacing w:after="150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 xml:space="preserve">Les seuls éléments dans le GSM qui peuvent actuellement </w:t>
      </w:r>
      <w:r w:rsidR="00201C67" w:rsidRPr="001A57A5">
        <w:rPr>
          <w:rFonts w:eastAsia="Times New Roman" w:cs="Segoe UI"/>
          <w:color w:val="444444"/>
          <w:sz w:val="20"/>
          <w:szCs w:val="20"/>
        </w:rPr>
        <w:t xml:space="preserve">être signalés comme urgents sont les </w:t>
      </w:r>
      <w:r w:rsidRPr="001A57A5">
        <w:rPr>
          <w:rFonts w:eastAsia="Times New Roman" w:cs="Segoe UI"/>
          <w:color w:val="444444"/>
          <w:sz w:val="20"/>
          <w:szCs w:val="20"/>
        </w:rPr>
        <w:t>demandes d’autorisation de voyage</w:t>
      </w:r>
      <w:r w:rsidR="00201C67" w:rsidRPr="001A57A5">
        <w:rPr>
          <w:rFonts w:eastAsia="Times New Roman" w:cs="Segoe UI"/>
          <w:color w:val="444444"/>
          <w:sz w:val="20"/>
          <w:szCs w:val="20"/>
        </w:rPr>
        <w:t xml:space="preserve"> (« Travel Requests »</w:t>
      </w:r>
      <w:r w:rsidRPr="001A57A5">
        <w:rPr>
          <w:rFonts w:eastAsia="Times New Roman" w:cs="Segoe UI"/>
          <w:color w:val="444444"/>
          <w:sz w:val="20"/>
          <w:szCs w:val="20"/>
        </w:rPr>
        <w:t xml:space="preserve">), </w:t>
      </w:r>
      <w:r w:rsidR="00201C67" w:rsidRPr="001A57A5">
        <w:rPr>
          <w:rFonts w:eastAsia="Times New Roman" w:cs="Segoe UI"/>
          <w:color w:val="444444"/>
          <w:sz w:val="20"/>
          <w:szCs w:val="20"/>
        </w:rPr>
        <w:t>les accords pour l’exécution de travaux (</w:t>
      </w:r>
      <w:r w:rsidR="00FF52BB">
        <w:rPr>
          <w:rFonts w:eastAsia="Times New Roman" w:cs="Segoe UI"/>
          <w:color w:val="444444"/>
          <w:sz w:val="20"/>
          <w:szCs w:val="20"/>
        </w:rPr>
        <w:t>« APWs </w:t>
      </w:r>
      <w:r w:rsidRPr="001A57A5">
        <w:rPr>
          <w:rFonts w:eastAsia="Times New Roman" w:cs="Segoe UI"/>
          <w:color w:val="444444"/>
          <w:sz w:val="20"/>
          <w:szCs w:val="20"/>
        </w:rPr>
        <w:t>»),</w:t>
      </w:r>
      <w:r w:rsidR="00675951" w:rsidRPr="001A57A5">
        <w:rPr>
          <w:rFonts w:eastAsia="Times New Roman" w:cs="Segoe UI"/>
          <w:color w:val="444444"/>
          <w:sz w:val="20"/>
          <w:szCs w:val="20"/>
        </w:rPr>
        <w:t xml:space="preserve"> </w:t>
      </w:r>
      <w:r w:rsidR="00201C67" w:rsidRPr="001A57A5">
        <w:rPr>
          <w:rFonts w:eastAsia="Times New Roman" w:cs="Segoe UI"/>
          <w:color w:val="444444"/>
          <w:sz w:val="20"/>
          <w:szCs w:val="20"/>
        </w:rPr>
        <w:t>les contrats de consultants</w:t>
      </w:r>
      <w:r w:rsidRPr="001A57A5">
        <w:rPr>
          <w:rFonts w:eastAsia="Times New Roman" w:cs="Segoe UI"/>
          <w:color w:val="444444"/>
          <w:sz w:val="20"/>
          <w:szCs w:val="20"/>
        </w:rPr>
        <w:t xml:space="preserve"> </w:t>
      </w:r>
      <w:r w:rsidR="00201C67" w:rsidRPr="001A57A5">
        <w:rPr>
          <w:rFonts w:eastAsia="Times New Roman" w:cs="Segoe UI"/>
          <w:color w:val="444444"/>
          <w:sz w:val="20"/>
          <w:szCs w:val="20"/>
        </w:rPr>
        <w:t>(</w:t>
      </w:r>
      <w:r w:rsidRPr="001A57A5">
        <w:rPr>
          <w:rFonts w:eastAsia="Times New Roman" w:cs="Segoe UI"/>
          <w:color w:val="444444"/>
          <w:sz w:val="20"/>
          <w:szCs w:val="20"/>
        </w:rPr>
        <w:t xml:space="preserve">« Consultant Contracts ») et </w:t>
      </w:r>
      <w:r w:rsidR="00201C67" w:rsidRPr="001A57A5">
        <w:rPr>
          <w:rFonts w:eastAsia="Times New Roman" w:cs="Segoe UI"/>
          <w:color w:val="444444"/>
          <w:sz w:val="20"/>
          <w:szCs w:val="20"/>
        </w:rPr>
        <w:t>les demandes d’achats de biens (</w:t>
      </w:r>
      <w:r w:rsidRPr="001A57A5">
        <w:rPr>
          <w:rFonts w:eastAsia="Times New Roman" w:cs="Segoe UI"/>
          <w:color w:val="444444"/>
          <w:sz w:val="20"/>
          <w:szCs w:val="20"/>
        </w:rPr>
        <w:t>« Procurement Requests for Goods »).</w:t>
      </w:r>
    </w:p>
    <w:p w14:paraId="0EFF3604" w14:textId="77777777" w:rsidR="001A57A5" w:rsidRDefault="009E5021" w:rsidP="009E5021">
      <w:pPr>
        <w:spacing w:after="150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b/>
          <w:bCs/>
          <w:color w:val="444444"/>
          <w:sz w:val="20"/>
          <w:szCs w:val="20"/>
          <w:u w:val="single"/>
        </w:rPr>
        <w:t>O</w:t>
      </w:r>
      <w:r w:rsidR="00201C67" w:rsidRPr="001A57A5">
        <w:rPr>
          <w:rFonts w:eastAsia="Times New Roman" w:cs="Segoe UI"/>
          <w:b/>
          <w:bCs/>
          <w:color w:val="444444"/>
          <w:sz w:val="20"/>
          <w:szCs w:val="20"/>
          <w:u w:val="single"/>
        </w:rPr>
        <w:t>U</w:t>
      </w:r>
    </w:p>
    <w:p w14:paraId="625ACD2A" w14:textId="0AE64B11" w:rsidR="00201C67" w:rsidRPr="001A57A5" w:rsidRDefault="00201C67" w:rsidP="009E5021">
      <w:pPr>
        <w:spacing w:after="150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 xml:space="preserve">Le membre du personnel envoie un courriel au point focal GSC concerné (voir sous Coordonnées du GSC </w:t>
      </w:r>
      <w:r w:rsidR="001A57A5">
        <w:rPr>
          <w:rFonts w:eastAsia="Times New Roman" w:cs="Segoe UI"/>
          <w:color w:val="444444"/>
          <w:sz w:val="20"/>
          <w:szCs w:val="20"/>
        </w:rPr>
        <w:t>ci</w:t>
      </w:r>
      <w:r w:rsidR="001A57A5">
        <w:rPr>
          <w:rFonts w:eastAsia="Times New Roman" w:cs="Segoe UI"/>
          <w:color w:val="444444"/>
          <w:sz w:val="20"/>
          <w:szCs w:val="20"/>
        </w:rPr>
        <w:noBreakHyphen/>
      </w:r>
      <w:r w:rsidR="00F95999" w:rsidRPr="001A57A5">
        <w:rPr>
          <w:rFonts w:eastAsia="Times New Roman" w:cs="Segoe UI"/>
          <w:color w:val="444444"/>
          <w:sz w:val="20"/>
          <w:szCs w:val="20"/>
        </w:rPr>
        <w:t>dessous</w:t>
      </w:r>
      <w:r w:rsidRPr="001A57A5">
        <w:rPr>
          <w:rFonts w:eastAsia="Times New Roman" w:cs="Segoe UI"/>
          <w:color w:val="444444"/>
          <w:sz w:val="20"/>
          <w:szCs w:val="20"/>
        </w:rPr>
        <w:t xml:space="preserve">), ou enregistre un incident ou fait une demande de service dans le module intitulé « My Service Desk » en indiquant : </w:t>
      </w:r>
    </w:p>
    <w:p w14:paraId="779D30D7" w14:textId="3BA0F599" w:rsidR="009E5021" w:rsidRPr="001A57A5" w:rsidRDefault="001A57A5" w:rsidP="00201C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Segoe UI"/>
          <w:color w:val="444444"/>
          <w:sz w:val="20"/>
          <w:szCs w:val="20"/>
        </w:rPr>
      </w:pPr>
      <w:r>
        <w:rPr>
          <w:rFonts w:eastAsia="Times New Roman" w:cs="Segoe UI"/>
          <w:color w:val="444444"/>
          <w:sz w:val="20"/>
          <w:szCs w:val="20"/>
        </w:rPr>
        <w:t>« EMERGENCY </w:t>
      </w:r>
      <w:r w:rsidR="00201C67" w:rsidRPr="001A57A5">
        <w:rPr>
          <w:rFonts w:eastAsia="Times New Roman" w:cs="Segoe UI"/>
          <w:color w:val="444444"/>
          <w:sz w:val="20"/>
          <w:szCs w:val="20"/>
        </w:rPr>
        <w:t>» (URGENCE)</w:t>
      </w:r>
      <w:r w:rsidR="009E53FD" w:rsidRPr="001A57A5">
        <w:rPr>
          <w:rFonts w:eastAsia="Times New Roman" w:cs="Segoe UI"/>
          <w:color w:val="444444"/>
          <w:sz w:val="20"/>
          <w:szCs w:val="20"/>
        </w:rPr>
        <w:t> ;</w:t>
      </w:r>
    </w:p>
    <w:p w14:paraId="702CA002" w14:textId="2317AA9A" w:rsidR="00201C67" w:rsidRPr="001A57A5" w:rsidRDefault="00201C67" w:rsidP="00201C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>l’intitulé de l’événement ou de la situation en attente de classement ou de la situation d’urgence officiellement reconnue</w:t>
      </w:r>
      <w:r w:rsidR="009E53FD" w:rsidRPr="001A57A5">
        <w:rPr>
          <w:rFonts w:eastAsia="Times New Roman" w:cs="Segoe UI"/>
          <w:color w:val="444444"/>
          <w:sz w:val="20"/>
          <w:szCs w:val="20"/>
        </w:rPr>
        <w:t> ;</w:t>
      </w:r>
      <w:r w:rsidRPr="001A57A5">
        <w:rPr>
          <w:rFonts w:eastAsia="Times New Roman" w:cs="Segoe UI"/>
          <w:color w:val="444444"/>
          <w:sz w:val="20"/>
          <w:szCs w:val="20"/>
        </w:rPr>
        <w:t xml:space="preserve">  </w:t>
      </w:r>
    </w:p>
    <w:p w14:paraId="2F55C15E" w14:textId="26491D0B" w:rsidR="00675951" w:rsidRPr="001A57A5" w:rsidRDefault="00201C67" w:rsidP="0067595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>le pays où se déroule la crise</w:t>
      </w:r>
      <w:r w:rsidR="009E53FD" w:rsidRPr="001A57A5">
        <w:rPr>
          <w:rFonts w:eastAsia="Times New Roman" w:cs="Segoe UI"/>
          <w:color w:val="444444"/>
          <w:sz w:val="20"/>
          <w:szCs w:val="20"/>
        </w:rPr>
        <w:t> ;</w:t>
      </w:r>
      <w:r w:rsidRPr="001A57A5">
        <w:rPr>
          <w:rFonts w:eastAsia="Times New Roman" w:cs="Segoe UI"/>
          <w:color w:val="444444"/>
          <w:sz w:val="20"/>
          <w:szCs w:val="20"/>
        </w:rPr>
        <w:t xml:space="preserve"> </w:t>
      </w:r>
    </w:p>
    <w:p w14:paraId="4AB677F8" w14:textId="4613C846" w:rsidR="00201C67" w:rsidRPr="001A57A5" w:rsidRDefault="00201C67" w:rsidP="00675951">
      <w:pPr>
        <w:spacing w:before="100" w:beforeAutospacing="1" w:after="100" w:afterAutospacing="1" w:line="240" w:lineRule="auto"/>
        <w:ind w:left="1440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  <w:u w:val="single"/>
        </w:rPr>
        <w:t>EXEMPLE</w:t>
      </w:r>
      <w:r w:rsidR="001A57A5">
        <w:rPr>
          <w:rFonts w:eastAsia="Times New Roman" w:cs="Segoe UI"/>
          <w:color w:val="444444"/>
          <w:sz w:val="20"/>
          <w:szCs w:val="20"/>
        </w:rPr>
        <w:t xml:space="preserve"> : EMERGENCY : MERS-</w:t>
      </w:r>
      <w:r w:rsidRPr="001A57A5">
        <w:rPr>
          <w:rFonts w:eastAsia="Times New Roman" w:cs="Segoe UI"/>
          <w:color w:val="444444"/>
          <w:sz w:val="20"/>
          <w:szCs w:val="20"/>
        </w:rPr>
        <w:t>CoV QATAR</w:t>
      </w:r>
    </w:p>
    <w:p w14:paraId="68397F64" w14:textId="0990CC7A" w:rsidR="009E5021" w:rsidRPr="001A57A5" w:rsidRDefault="00201C67" w:rsidP="00201C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 xml:space="preserve">la 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 xml:space="preserve">transaction </w:t>
      </w:r>
      <w:r w:rsidRPr="001A57A5">
        <w:rPr>
          <w:rFonts w:eastAsia="Times New Roman" w:cs="Segoe UI"/>
          <w:color w:val="444444"/>
          <w:sz w:val="20"/>
          <w:szCs w:val="20"/>
        </w:rPr>
        <w:t>pour laquelle les services prioritaires sont demandés</w:t>
      </w:r>
      <w:r w:rsidR="009E53FD" w:rsidRPr="001A57A5">
        <w:rPr>
          <w:rFonts w:eastAsia="Times New Roman" w:cs="Segoe UI"/>
          <w:color w:val="444444"/>
          <w:sz w:val="20"/>
          <w:szCs w:val="20"/>
        </w:rPr>
        <w:t> ;</w:t>
      </w:r>
    </w:p>
    <w:p w14:paraId="00D91558" w14:textId="4CCB3F55" w:rsidR="009E5021" w:rsidRPr="001A57A5" w:rsidRDefault="00F95999" w:rsidP="00201C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Segoe UI"/>
          <w:color w:val="444444"/>
          <w:sz w:val="20"/>
          <w:szCs w:val="20"/>
        </w:rPr>
      </w:pPr>
      <w:r w:rsidRPr="001A57A5">
        <w:rPr>
          <w:rFonts w:eastAsia="Times New Roman" w:cs="Segoe UI"/>
          <w:color w:val="444444"/>
          <w:sz w:val="20"/>
          <w:szCs w:val="20"/>
        </w:rPr>
        <w:t xml:space="preserve">brièvement, les raisons pour lesquelles </w:t>
      </w:r>
      <w:r w:rsidR="00201C67" w:rsidRPr="001A57A5">
        <w:rPr>
          <w:rFonts w:eastAsia="Times New Roman" w:cs="Segoe UI"/>
          <w:color w:val="444444"/>
          <w:sz w:val="20"/>
          <w:szCs w:val="20"/>
        </w:rPr>
        <w:t>la transaction est une priorité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>. </w:t>
      </w:r>
    </w:p>
    <w:p w14:paraId="67DE2992" w14:textId="77777777" w:rsidR="00D45824" w:rsidRDefault="00A57D59" w:rsidP="001A57A5">
      <w:pPr>
        <w:spacing w:after="0" w:line="240" w:lineRule="auto"/>
        <w:rPr>
          <w:rFonts w:eastAsia="Times New Roman" w:cs="Segoe UI"/>
          <w:b/>
          <w:bCs/>
          <w:color w:val="444444"/>
          <w:sz w:val="20"/>
          <w:szCs w:val="20"/>
        </w:rPr>
      </w:pPr>
      <w:r w:rsidRPr="001A57A5">
        <w:rPr>
          <w:rFonts w:eastAsia="Times New Roman" w:cs="Segoe UI"/>
          <w:b/>
          <w:bCs/>
          <w:color w:val="444444"/>
          <w:sz w:val="20"/>
          <w:szCs w:val="20"/>
        </w:rPr>
        <w:t>Dans les courriels et demandes envoyés par « My Service Desk », n’oubliez pas d’inclure le numéro d’enregistrement GSM si celui-ci est disponible afin de permettre au point focal d’identifier la transaction, par exemple :</w:t>
      </w:r>
    </w:p>
    <w:p w14:paraId="46358425" w14:textId="7C77E14C" w:rsidR="001A57A5" w:rsidRDefault="003320E1" w:rsidP="001A57A5">
      <w:pPr>
        <w:spacing w:after="0" w:line="240" w:lineRule="auto"/>
        <w:rPr>
          <w:rFonts w:eastAsia="Times New Roman" w:cs="Segoe UI"/>
          <w:color w:val="444444"/>
          <w:sz w:val="20"/>
          <w:szCs w:val="20"/>
        </w:rPr>
      </w:pPr>
      <w:r>
        <w:rPr>
          <w:rFonts w:eastAsia="Times New Roman" w:cs="Segoe UI"/>
          <w:color w:val="444444"/>
          <w:sz w:val="20"/>
          <w:szCs w:val="20"/>
        </w:rPr>
        <w:t>Demande</w:t>
      </w:r>
      <w:r w:rsidR="00A57D59" w:rsidRPr="001A57A5">
        <w:rPr>
          <w:rFonts w:eastAsia="Times New Roman" w:cs="Segoe UI"/>
          <w:color w:val="444444"/>
          <w:sz w:val="20"/>
          <w:szCs w:val="20"/>
        </w:rPr>
        <w:t xml:space="preserve"> d’autorisation de voyage : inclure le numéro de TR (TR number)</w:t>
      </w:r>
      <w:r w:rsidR="009E53FD" w:rsidRPr="001A57A5">
        <w:rPr>
          <w:rFonts w:eastAsia="Times New Roman" w:cs="Segoe UI"/>
          <w:color w:val="444444"/>
          <w:sz w:val="20"/>
          <w:szCs w:val="20"/>
        </w:rPr>
        <w:t> ;</w:t>
      </w:r>
    </w:p>
    <w:p w14:paraId="231487AB" w14:textId="7A2E550C" w:rsidR="009E5021" w:rsidRPr="001A57A5" w:rsidRDefault="003320E1" w:rsidP="009E5021">
      <w:pPr>
        <w:spacing w:after="150" w:line="240" w:lineRule="auto"/>
        <w:rPr>
          <w:rFonts w:eastAsia="Times New Roman" w:cs="Segoe UI"/>
          <w:color w:val="444444"/>
          <w:sz w:val="20"/>
          <w:szCs w:val="20"/>
        </w:rPr>
      </w:pPr>
      <w:r>
        <w:rPr>
          <w:rFonts w:eastAsia="Times New Roman" w:cs="Segoe UI"/>
          <w:color w:val="444444"/>
          <w:sz w:val="20"/>
          <w:szCs w:val="20"/>
        </w:rPr>
        <w:t>Demande</w:t>
      </w:r>
      <w:r w:rsidR="00A57D59" w:rsidRPr="001A57A5">
        <w:rPr>
          <w:rFonts w:eastAsia="Times New Roman" w:cs="Segoe UI"/>
          <w:color w:val="444444"/>
          <w:sz w:val="20"/>
          <w:szCs w:val="20"/>
        </w:rPr>
        <w:t xml:space="preserve"> d’achat : inclure le numéro d’enregistrement OMS (WHO registration number)</w:t>
      </w:r>
      <w:r w:rsidR="00F95999" w:rsidRPr="001A57A5">
        <w:rPr>
          <w:rFonts w:eastAsia="Times New Roman" w:cs="Segoe UI"/>
          <w:color w:val="444444"/>
          <w:sz w:val="20"/>
          <w:szCs w:val="20"/>
        </w:rPr>
        <w:t>.</w:t>
      </w:r>
    </w:p>
    <w:p w14:paraId="65A57586" w14:textId="77777777" w:rsidR="009E5021" w:rsidRPr="001A57A5" w:rsidRDefault="009E5021" w:rsidP="009E5021">
      <w:pPr>
        <w:spacing w:before="100" w:beforeAutospacing="1" w:after="100" w:afterAutospacing="1" w:line="240" w:lineRule="auto"/>
        <w:outlineLvl w:val="3"/>
        <w:rPr>
          <w:rFonts w:eastAsia="Times New Roman" w:cs="Segoe UI"/>
          <w:color w:val="777777"/>
          <w:sz w:val="24"/>
          <w:szCs w:val="24"/>
        </w:rPr>
      </w:pPr>
    </w:p>
    <w:p w14:paraId="179A892F" w14:textId="10702D49" w:rsidR="009E5021" w:rsidRPr="001A57A5" w:rsidRDefault="003570C3" w:rsidP="009E5021">
      <w:pPr>
        <w:spacing w:before="100" w:beforeAutospacing="1" w:after="100" w:afterAutospacing="1" w:line="240" w:lineRule="auto"/>
        <w:outlineLvl w:val="3"/>
        <w:rPr>
          <w:rFonts w:eastAsia="Times New Roman" w:cs="Segoe UI"/>
          <w:b/>
          <w:sz w:val="24"/>
          <w:szCs w:val="24"/>
        </w:rPr>
      </w:pPr>
      <w:r w:rsidRPr="001A57A5">
        <w:rPr>
          <w:rFonts w:eastAsia="Times New Roman" w:cs="Segoe UI"/>
          <w:b/>
          <w:sz w:val="24"/>
          <w:szCs w:val="24"/>
        </w:rPr>
        <w:t xml:space="preserve">Coordonnées du </w:t>
      </w:r>
      <w:r w:rsidR="009E5021" w:rsidRPr="001A57A5">
        <w:rPr>
          <w:rFonts w:eastAsia="Times New Roman" w:cs="Segoe UI"/>
          <w:b/>
          <w:sz w:val="24"/>
          <w:szCs w:val="24"/>
        </w:rPr>
        <w:t xml:space="preserve">GSC </w:t>
      </w:r>
    </w:p>
    <w:p w14:paraId="1E8D96A9" w14:textId="1580088C" w:rsidR="009E5021" w:rsidRPr="001A57A5" w:rsidRDefault="001A57A5" w:rsidP="009E5021">
      <w:pPr>
        <w:spacing w:after="150" w:line="240" w:lineRule="auto"/>
        <w:rPr>
          <w:rFonts w:eastAsia="Times New Roman" w:cs="Segoe UI"/>
          <w:color w:val="444444"/>
          <w:sz w:val="20"/>
          <w:szCs w:val="20"/>
        </w:rPr>
      </w:pPr>
      <w:r>
        <w:rPr>
          <w:rFonts w:eastAsia="Times New Roman" w:cs="Segoe UI"/>
          <w:color w:val="444444"/>
          <w:sz w:val="20"/>
          <w:szCs w:val="20"/>
        </w:rPr>
        <w:t>80.   </w:t>
      </w:r>
      <w:r w:rsidR="003570C3" w:rsidRPr="001A57A5">
        <w:rPr>
          <w:rFonts w:eastAsia="Times New Roman" w:cs="Segoe UI"/>
          <w:color w:val="444444"/>
          <w:sz w:val="20"/>
          <w:szCs w:val="20"/>
        </w:rPr>
        <w:t>Les coordonnées du GSC figurent sous le lien suivant :</w:t>
      </w:r>
      <w:r w:rsidR="009E5021" w:rsidRPr="001A57A5">
        <w:rPr>
          <w:rFonts w:eastAsia="Times New Roman" w:cs="Segoe UI"/>
          <w:color w:val="444444"/>
          <w:sz w:val="20"/>
          <w:szCs w:val="20"/>
        </w:rPr>
        <w:t> </w:t>
      </w:r>
      <w:hyperlink r:id="rId15" w:history="1">
        <w:r w:rsidR="000A38C1">
          <w:rPr>
            <w:rFonts w:eastAsia="Times New Roman" w:cs="Segoe UI"/>
            <w:color w:val="663399"/>
            <w:sz w:val="20"/>
            <w:szCs w:val="20"/>
          </w:rPr>
          <w:t>Liste d'appel d'urgence</w:t>
        </w:r>
      </w:hyperlink>
    </w:p>
    <w:p w14:paraId="38D988EB" w14:textId="77777777" w:rsidR="008E17EB" w:rsidRPr="001A57A5" w:rsidRDefault="008E17EB"/>
    <w:sectPr w:rsidR="008E17EB" w:rsidRPr="001A57A5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D866" w14:textId="77777777" w:rsidR="00E453D5" w:rsidRDefault="00E453D5" w:rsidP="009E5021">
      <w:pPr>
        <w:spacing w:after="0" w:line="240" w:lineRule="auto"/>
      </w:pPr>
      <w:r>
        <w:separator/>
      </w:r>
    </w:p>
  </w:endnote>
  <w:endnote w:type="continuationSeparator" w:id="0">
    <w:p w14:paraId="1F975EA0" w14:textId="77777777" w:rsidR="00E453D5" w:rsidRDefault="00E453D5" w:rsidP="009E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327865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B12921" w14:textId="33B8CDAC" w:rsidR="009E5021" w:rsidRPr="009E5021" w:rsidRDefault="009E5021">
            <w:pPr>
              <w:pStyle w:val="Footer"/>
              <w:jc w:val="right"/>
              <w:rPr>
                <w:sz w:val="20"/>
                <w:szCs w:val="20"/>
              </w:rPr>
            </w:pPr>
            <w:r w:rsidRPr="009E5021">
              <w:rPr>
                <w:sz w:val="20"/>
                <w:szCs w:val="20"/>
              </w:rPr>
              <w:t xml:space="preserve">Page </w:t>
            </w:r>
            <w:r w:rsidRPr="009E5021">
              <w:rPr>
                <w:b/>
                <w:bCs/>
                <w:sz w:val="20"/>
                <w:szCs w:val="20"/>
              </w:rPr>
              <w:fldChar w:fldCharType="begin"/>
            </w:r>
            <w:r w:rsidRPr="009E502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E5021">
              <w:rPr>
                <w:b/>
                <w:bCs/>
                <w:sz w:val="20"/>
                <w:szCs w:val="20"/>
              </w:rPr>
              <w:fldChar w:fldCharType="separate"/>
            </w:r>
            <w:r w:rsidR="003320E1">
              <w:rPr>
                <w:b/>
                <w:bCs/>
                <w:noProof/>
                <w:sz w:val="20"/>
                <w:szCs w:val="20"/>
              </w:rPr>
              <w:t>3</w:t>
            </w:r>
            <w:r w:rsidRPr="009E5021">
              <w:rPr>
                <w:b/>
                <w:bCs/>
                <w:sz w:val="20"/>
                <w:szCs w:val="20"/>
              </w:rPr>
              <w:fldChar w:fldCharType="end"/>
            </w:r>
            <w:r w:rsidRPr="009E5021">
              <w:rPr>
                <w:sz w:val="20"/>
                <w:szCs w:val="20"/>
              </w:rPr>
              <w:t xml:space="preserve"> </w:t>
            </w:r>
            <w:r w:rsidR="00A0045E">
              <w:rPr>
                <w:sz w:val="20"/>
                <w:szCs w:val="20"/>
              </w:rPr>
              <w:t xml:space="preserve">sur </w:t>
            </w:r>
            <w:r w:rsidRPr="009E5021">
              <w:rPr>
                <w:b/>
                <w:bCs/>
                <w:sz w:val="20"/>
                <w:szCs w:val="20"/>
              </w:rPr>
              <w:fldChar w:fldCharType="begin"/>
            </w:r>
            <w:r w:rsidRPr="009E502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E5021">
              <w:rPr>
                <w:b/>
                <w:bCs/>
                <w:sz w:val="20"/>
                <w:szCs w:val="20"/>
              </w:rPr>
              <w:fldChar w:fldCharType="separate"/>
            </w:r>
            <w:r w:rsidR="003320E1">
              <w:rPr>
                <w:b/>
                <w:bCs/>
                <w:noProof/>
                <w:sz w:val="20"/>
                <w:szCs w:val="20"/>
              </w:rPr>
              <w:t>3</w:t>
            </w:r>
            <w:r w:rsidRPr="009E502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838DD6" w14:textId="77777777" w:rsidR="009E5021" w:rsidRDefault="009E5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669B4" w14:textId="77777777" w:rsidR="00E453D5" w:rsidRDefault="00E453D5" w:rsidP="009E5021">
      <w:pPr>
        <w:spacing w:after="0" w:line="240" w:lineRule="auto"/>
      </w:pPr>
      <w:r>
        <w:separator/>
      </w:r>
    </w:p>
  </w:footnote>
  <w:footnote w:type="continuationSeparator" w:id="0">
    <w:p w14:paraId="0C20F6E9" w14:textId="77777777" w:rsidR="00E453D5" w:rsidRDefault="00E453D5" w:rsidP="009E5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4830"/>
    <w:multiLevelType w:val="multilevel"/>
    <w:tmpl w:val="1C38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BE79FB"/>
    <w:multiLevelType w:val="multilevel"/>
    <w:tmpl w:val="AE3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D25BB9"/>
    <w:multiLevelType w:val="multilevel"/>
    <w:tmpl w:val="30D0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7A626D"/>
    <w:multiLevelType w:val="multilevel"/>
    <w:tmpl w:val="878C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9A2B75"/>
    <w:multiLevelType w:val="multilevel"/>
    <w:tmpl w:val="E03A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2364891">
    <w:abstractNumId w:val="0"/>
  </w:num>
  <w:num w:numId="2" w16cid:durableId="1377580325">
    <w:abstractNumId w:val="1"/>
  </w:num>
  <w:num w:numId="3" w16cid:durableId="1816409831">
    <w:abstractNumId w:val="4"/>
  </w:num>
  <w:num w:numId="4" w16cid:durableId="1386834883">
    <w:abstractNumId w:val="2"/>
  </w:num>
  <w:num w:numId="5" w16cid:durableId="1701734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21"/>
    <w:rsid w:val="0000603A"/>
    <w:rsid w:val="00055C7B"/>
    <w:rsid w:val="000A38C1"/>
    <w:rsid w:val="000B6060"/>
    <w:rsid w:val="00103E4F"/>
    <w:rsid w:val="001A57A5"/>
    <w:rsid w:val="00201C67"/>
    <w:rsid w:val="00235490"/>
    <w:rsid w:val="00287089"/>
    <w:rsid w:val="00291780"/>
    <w:rsid w:val="003320E1"/>
    <w:rsid w:val="003570C3"/>
    <w:rsid w:val="00366920"/>
    <w:rsid w:val="003F178F"/>
    <w:rsid w:val="00431A7D"/>
    <w:rsid w:val="00675951"/>
    <w:rsid w:val="00871359"/>
    <w:rsid w:val="008E17EB"/>
    <w:rsid w:val="008F354F"/>
    <w:rsid w:val="0095110B"/>
    <w:rsid w:val="009A6D99"/>
    <w:rsid w:val="009E5021"/>
    <w:rsid w:val="009E53FD"/>
    <w:rsid w:val="00A0045E"/>
    <w:rsid w:val="00A57D59"/>
    <w:rsid w:val="00A668EE"/>
    <w:rsid w:val="00BD565E"/>
    <w:rsid w:val="00BE79E8"/>
    <w:rsid w:val="00BF0C6F"/>
    <w:rsid w:val="00C143B8"/>
    <w:rsid w:val="00CB214E"/>
    <w:rsid w:val="00D25710"/>
    <w:rsid w:val="00D45824"/>
    <w:rsid w:val="00DF03BA"/>
    <w:rsid w:val="00E453D5"/>
    <w:rsid w:val="00EA3B0A"/>
    <w:rsid w:val="00F95999"/>
    <w:rsid w:val="00FA2659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41687"/>
  <w15:docId w15:val="{A5048FE2-F11C-449E-8E44-8581262E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9E5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50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E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E502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E5021"/>
    <w:rPr>
      <w:b/>
      <w:bCs/>
    </w:rPr>
  </w:style>
  <w:style w:type="character" w:styleId="Emphasis">
    <w:name w:val="Emphasis"/>
    <w:basedOn w:val="DefaultParagraphFont"/>
    <w:uiPriority w:val="20"/>
    <w:qFormat/>
    <w:rsid w:val="009E50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E5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E5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021"/>
  </w:style>
  <w:style w:type="paragraph" w:styleId="Footer">
    <w:name w:val="footer"/>
    <w:basedOn w:val="Normal"/>
    <w:link w:val="FooterChar"/>
    <w:uiPriority w:val="99"/>
    <w:unhideWhenUsed/>
    <w:rsid w:val="009E5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02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08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B2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3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A3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manual.who.int/p17new/s02/Pages/2-7-Activation-of-Emergency-Procedures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manual.who.int/p17new/s02/Pages/2-4-List-of-active-Graded-Emergencie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manual.who.int/eM_RelCont_Lib/GSC_OnCall_list_September_2019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manual.who.int/p17new/s02/Pages/2-7-Activation-of-Emergency-Procedur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1624;#2.9 Administrative Services for Emergencies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Version française XVII.2.9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21</eM_RelContCat_SC>
    <eM_PolicyIDs_SC xmlns="c42180c4-457d-4cd2-985a-4d4a2011628f">1624;#f0d0401a-833e-45b3-9028-c6890f7ddc2a</eM_PolicyIDs_S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987E9-9BFC-4CEC-9FA3-7186EB8CCCDD}">
  <ds:schemaRefs>
    <ds:schemaRef ds:uri="http://schemas.microsoft.com/office/2006/metadata/properties"/>
    <ds:schemaRef ds:uri="http://schemas.microsoft.com/office/infopath/2007/PartnerControls"/>
    <ds:schemaRef ds:uri="c42180c4-457d-4cd2-985a-4d4a2011628f"/>
    <ds:schemaRef ds:uri="http://schemas.microsoft.com/sharepoint/v4"/>
    <ds:schemaRef ds:uri="4d6ed7a4-92f4-44a7-b26a-261450baff90"/>
  </ds:schemaRefs>
</ds:datastoreItem>
</file>

<file path=customXml/itemProps2.xml><?xml version="1.0" encoding="utf-8"?>
<ds:datastoreItem xmlns:ds="http://schemas.openxmlformats.org/officeDocument/2006/customXml" ds:itemID="{B650860F-5913-4DEB-B65C-1D0EE263B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FDE70-CB3D-41F2-BB5B-43809194C2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4C759E-6BC1-4013-939E-7EA80958C8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0A75D3-AE06-4453-8EC4-41B38CF945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1144</Words>
  <Characters>6217</Characters>
  <Application>Microsoft Office Word</Application>
  <DocSecurity>0</DocSecurity>
  <Lines>207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YANG, Ju</dc:creator>
  <cp:lastModifiedBy>PRASHAD, Anupa</cp:lastModifiedBy>
  <cp:revision>2</cp:revision>
  <cp:lastPrinted>2018-08-14T12:33:00Z</cp:lastPrinted>
  <dcterms:created xsi:type="dcterms:W3CDTF">2023-09-05T21:15:00Z</dcterms:created>
  <dcterms:modified xsi:type="dcterms:W3CDTF">2023-09-05T21:15:00Z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  <property fmtid="{D5CDD505-2E9C-101B-9397-08002B2CF9AE}" pid="3" name="GrammarlyDocumentId">
    <vt:lpwstr>e42af0ff21e55c9160a1a310c8b34e888d1fdd080c8f298d0e7036b789fe73b4</vt:lpwstr>
  </property>
</Properties>
</file>